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line="420" w:lineRule="exact"/>
        <w:ind w:right="450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sz w:val="30"/>
          <w:szCs w:val="30"/>
        </w:rPr>
        <w:t>附件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2016中国·贵州国际茶文化节暨茶产业博览会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参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 </w:t>
      </w:r>
      <w:r>
        <w:rPr>
          <w:rFonts w:ascii="微软雅黑" w:hAnsi="微软雅黑" w:eastAsia="微软雅黑"/>
          <w:b/>
          <w:sz w:val="32"/>
          <w:szCs w:val="32"/>
        </w:rPr>
        <w:t>会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 </w:t>
      </w:r>
      <w:r>
        <w:rPr>
          <w:rFonts w:ascii="微软雅黑" w:hAnsi="微软雅黑" w:eastAsia="微软雅黑"/>
          <w:b/>
          <w:sz w:val="32"/>
          <w:szCs w:val="32"/>
        </w:rPr>
        <w:t>回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 </w:t>
      </w:r>
      <w:r>
        <w:rPr>
          <w:rFonts w:ascii="微软雅黑" w:hAnsi="微软雅黑" w:eastAsia="微软雅黑"/>
          <w:b/>
          <w:sz w:val="32"/>
          <w:szCs w:val="32"/>
        </w:rPr>
        <w:t>执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邮 编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传 真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 系 人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姓 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民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职 务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抵达方式 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□火车  □飞机  □汽车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ind w:left="-44" w:leftChars="-21" w:right="-107" w:rightChars="-51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需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接站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贵阳龙洞堡机场    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遵义新舟机场      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遵义火车站        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杭瑞高速湄潭收费站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道安高速湄潭东收费站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填表日期   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注： 此表请务必于201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日之前传真到中国茶叶流通协会。</w:t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联系人：王智超、梅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宇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楷体_GB2312"/>
                <w:sz w:val="30"/>
                <w:szCs w:val="30"/>
              </w:rPr>
              <w:t>E-mail：</w:t>
            </w:r>
            <w:r>
              <w:fldChar w:fldCharType="begin"/>
            </w:r>
            <w:r>
              <w:instrText xml:space="preserve"> HYPERLINK "mailto:ctma_mingcha@163.com"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楷体_GB2312"/>
                <w:color w:val="333333"/>
                <w:sz w:val="30"/>
                <w:szCs w:val="30"/>
              </w:rPr>
              <w:t>65973364</w:t>
            </w:r>
            <w:r>
              <w:rPr>
                <w:rFonts w:ascii="Times New Roman" w:hAnsi="Times New Roman" w:eastAsia="楷体_GB2312"/>
                <w:color w:val="333333"/>
                <w:sz w:val="30"/>
                <w:szCs w:val="30"/>
              </w:rPr>
              <w:t>@qq.com</w:t>
            </w:r>
            <w:r>
              <w:rPr>
                <w:rFonts w:ascii="Times New Roman" w:hAnsi="Times New Roman" w:eastAsia="楷体_GB2312"/>
                <w:color w:val="333333"/>
                <w:sz w:val="30"/>
                <w:szCs w:val="30"/>
              </w:rPr>
              <w:fldChar w:fldCharType="end"/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联系电话：010-66094152\4172；   传真：010-66018165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271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2016-03-07T08:27:26Z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