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9FC1" w14:textId="77777777" w:rsidR="00BF34D6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E6188F">
        <w:rPr>
          <w:rFonts w:ascii="黑体" w:eastAsia="黑体" w:hAnsi="黑体" w:cs="黑体" w:hint="eastAsia"/>
          <w:sz w:val="36"/>
          <w:szCs w:val="36"/>
        </w:rPr>
        <w:t>羊楼洞翠毫茶加工技术规程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</w:p>
    <w:p w14:paraId="1AEBFC0A" w14:textId="610BA9B0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77047048" w14:textId="77777777" w:rsidR="00BF34D6" w:rsidRPr="00BF34D6" w:rsidRDefault="00971DD1" w:rsidP="00BF34D6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工作简况</w:t>
      </w:r>
    </w:p>
    <w:p w14:paraId="6D2E6F2D" w14:textId="6F645457" w:rsidR="001D21FF" w:rsidRPr="00BF34D6" w:rsidRDefault="00971DD1" w:rsidP="00BF34D6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（一）</w:t>
      </w:r>
      <w:r w:rsidR="000F005A" w:rsidRPr="00BF34D6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36ED8D6E" w:rsidR="001D21FF" w:rsidRPr="00BF34D6" w:rsidRDefault="00971DD1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1、任务来源</w:t>
      </w:r>
    </w:p>
    <w:p w14:paraId="45229017" w14:textId="486AEC7E" w:rsidR="00EB17CA" w:rsidRPr="00BF34D6" w:rsidRDefault="0006165E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本标准由</w:t>
      </w:r>
      <w:r w:rsidRPr="00014120">
        <w:rPr>
          <w:rFonts w:ascii="宋体" w:eastAsia="宋体" w:hAnsi="宋体" w:cs="仿宋" w:hint="eastAsia"/>
          <w:szCs w:val="21"/>
        </w:rPr>
        <w:t>赤壁青砖茶研究院</w:t>
      </w:r>
      <w:r w:rsidRPr="00FD3AF0">
        <w:rPr>
          <w:rFonts w:ascii="宋体" w:eastAsia="宋体" w:hAnsi="宋体" w:cs="仿宋" w:hint="eastAsia"/>
          <w:szCs w:val="21"/>
        </w:rPr>
        <w:t>提出，中国茶叶流通协会批准立项（中茶协标准字</w:t>
      </w:r>
      <w:r w:rsidRPr="00FD3AF0">
        <w:rPr>
          <w:rFonts w:ascii="宋体" w:eastAsia="宋体" w:hAnsi="宋体" w:cs="仿宋"/>
          <w:szCs w:val="21"/>
        </w:rPr>
        <w:t>[2021]16号中国茶叶流通协会关于同意《羊楼洞翠毫茶》等六项团体标准立项的通知）。</w:t>
      </w:r>
      <w:r w:rsidR="00EB17CA" w:rsidRPr="00BF34D6">
        <w:rPr>
          <w:rFonts w:ascii="宋体" w:eastAsia="宋体" w:hAnsi="宋体" w:cs="仿宋"/>
          <w:szCs w:val="21"/>
        </w:rPr>
        <w:t>由</w:t>
      </w:r>
      <w:r w:rsidRPr="00014120">
        <w:rPr>
          <w:rFonts w:ascii="宋体" w:eastAsia="宋体" w:hAnsi="宋体" w:cs="仿宋" w:hint="eastAsia"/>
          <w:szCs w:val="21"/>
        </w:rPr>
        <w:t>赤壁青砖茶研究院</w:t>
      </w:r>
      <w:r w:rsidR="00EB17CA" w:rsidRPr="00BF34D6">
        <w:rPr>
          <w:rFonts w:ascii="宋体" w:eastAsia="宋体" w:hAnsi="宋体" w:cs="仿宋"/>
          <w:szCs w:val="21"/>
        </w:rPr>
        <w:t>主持承担“羊楼洞翠毫茶加工技术规程”的制定工作。</w:t>
      </w:r>
    </w:p>
    <w:p w14:paraId="52578F40" w14:textId="1E0E34C3" w:rsidR="00971DD1" w:rsidRPr="00BF34D6" w:rsidRDefault="00971DD1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2、起草单位</w:t>
      </w:r>
    </w:p>
    <w:p w14:paraId="12E14F70" w14:textId="45B255B8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赤壁市青（米）砖茶科学技术研究所、湖北省农业科学院果树茶叶研究所、赤壁市农业农村局、中国茶叶流通协会、湖北省赵李桥茶厂有限公司、赤壁市赵李桥塔峰茶业有限公司、赤壁市洞口茶叶种植专业合作社、赤壁市清茗茶业有限公司。</w:t>
      </w:r>
    </w:p>
    <w:p w14:paraId="220AEE24" w14:textId="68982B49" w:rsidR="00971DD1" w:rsidRPr="00BF34D6" w:rsidRDefault="00971DD1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3、主要工作</w:t>
      </w:r>
    </w:p>
    <w:p w14:paraId="6A134F0A" w14:textId="77777777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雷该翔，赤壁市青（米）砖茶科学技术研究所所长、高级农艺师，主持标准编制工作，制定起草原则和标准框架，参与起草标准初稿和修改工作。</w:t>
      </w:r>
    </w:p>
    <w:p w14:paraId="01CC2547" w14:textId="77777777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陈勋，湖北省农业科学院果树茶叶研究所副研究员，负责研究相关技术资料，把关技术内容，参与起草标准初稿和修改工作。</w:t>
      </w:r>
    </w:p>
    <w:p w14:paraId="0FBEC4D3" w14:textId="77777777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249196B1" w14:textId="77777777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张瑜，中国茶叶流通协会，参与收集技术资料、征求意见和修改工作。</w:t>
      </w:r>
    </w:p>
    <w:p w14:paraId="004ECC16" w14:textId="77777777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陈军海，湖北省赵李桥茶厂有限公司技术总监、高工，负责研究相关技术资料，把关技术内容，参与起草标准初稿和修改工作。</w:t>
      </w:r>
    </w:p>
    <w:p w14:paraId="658F5BEB" w14:textId="6E53DB7D" w:rsidR="00EB17C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张朵</w:t>
      </w:r>
      <w:r w:rsidRPr="00BF34D6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BF34D6" w:rsidRDefault="00995407" w:rsidP="00BF34D6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16A73E5E" w:rsidR="000F005A" w:rsidRPr="00BF34D6" w:rsidRDefault="00EB17C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中国茶叶流通协会会同湖北省赤壁市农业农村局在</w:t>
      </w:r>
      <w:r w:rsidRPr="00BF34D6">
        <w:rPr>
          <w:rFonts w:ascii="宋体" w:eastAsia="宋体" w:hAnsi="宋体" w:cs="仿宋"/>
          <w:szCs w:val="21"/>
        </w:rPr>
        <w:t>2021年3月开始，由赤壁市青（米）砖茶科学技术研究所牵头，成立了青砖茶团体标准编制工作小组，启动《</w:t>
      </w:r>
      <w:r w:rsidRPr="00BF34D6">
        <w:rPr>
          <w:rFonts w:ascii="宋体" w:eastAsia="宋体" w:hAnsi="宋体" w:cs="仿宋" w:hint="eastAsia"/>
          <w:szCs w:val="21"/>
        </w:rPr>
        <w:t>羊楼洞</w:t>
      </w:r>
      <w:r w:rsidRPr="00BF34D6">
        <w:rPr>
          <w:rFonts w:ascii="宋体" w:eastAsia="宋体" w:hAnsi="宋体" w:cs="仿宋"/>
          <w:szCs w:val="21"/>
        </w:rPr>
        <w:t>翠毫茶加工技术规程》团体标准项目</w:t>
      </w:r>
      <w:r w:rsidRPr="00BF34D6">
        <w:rPr>
          <w:rFonts w:ascii="宋体" w:eastAsia="宋体" w:hAnsi="宋体" w:cs="仿宋"/>
          <w:szCs w:val="21"/>
        </w:rPr>
        <w:lastRenderedPageBreak/>
        <w:t>建议书、草案的编写，联合组织材料申报。同时邀请了部分茶叶专家、生产企业、加工户、销售商及市场监管等相关单位就标准内容进行了详细讨论，根据讨论结果进行文本修改，形成了《</w:t>
      </w:r>
      <w:r w:rsidRPr="00BF34D6">
        <w:rPr>
          <w:rFonts w:ascii="宋体" w:eastAsia="宋体" w:hAnsi="宋体" w:cs="仿宋" w:hint="eastAsia"/>
          <w:szCs w:val="21"/>
        </w:rPr>
        <w:t>羊楼洞</w:t>
      </w:r>
      <w:r w:rsidRPr="00BF34D6">
        <w:rPr>
          <w:rFonts w:ascii="宋体" w:eastAsia="宋体" w:hAnsi="宋体" w:cs="仿宋"/>
          <w:szCs w:val="21"/>
        </w:rPr>
        <w:t>翠毫茶加工技术</w:t>
      </w:r>
      <w:r w:rsidRPr="00BF34D6">
        <w:rPr>
          <w:rFonts w:ascii="宋体" w:eastAsia="宋体" w:hAnsi="宋体" w:cs="仿宋" w:hint="eastAsia"/>
          <w:szCs w:val="21"/>
        </w:rPr>
        <w:t>规程</w:t>
      </w:r>
      <w:r w:rsidRPr="00BF34D6">
        <w:rPr>
          <w:rFonts w:ascii="宋体" w:eastAsia="宋体" w:hAnsi="宋体" w:cs="仿宋"/>
          <w:szCs w:val="21"/>
        </w:rPr>
        <w:t>（征求意见稿）》。</w:t>
      </w:r>
    </w:p>
    <w:p w14:paraId="2E102C41" w14:textId="022D6DCB" w:rsidR="001D21FF" w:rsidRPr="00BF34D6" w:rsidRDefault="000F005A" w:rsidP="00BF34D6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制定本标准的目的和意义</w:t>
      </w:r>
    </w:p>
    <w:p w14:paraId="00DF2A4A" w14:textId="3F1C74BF" w:rsidR="000F005A" w:rsidRPr="00BF34D6" w:rsidRDefault="009F2DE9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羊楼洞翠毫产于著名的洞茶茶区，以“紧、细、圆、直且多毫”的外形和“汤色清明亮，栗香高持久，回味多甘甜”的独特品质深受广大消费者喜爱。这是产区的一种传统名优绿茶，近年来随着消费市场需求扩大及产区劳动力的转移，采用机械制作是必经之路。随着赤壁市近年来大力打造青砖茶品牌，青砖茶产量增长迅猛，赤壁市绿茶占比逐年下降，为了保证历史传统名茶的延续发展，制订羊楼洞翠毫茶相关标准尤为重要，促进赤壁茶产业多元化和高质量发展。</w:t>
      </w:r>
    </w:p>
    <w:p w14:paraId="3AF745CE" w14:textId="74C1DA41" w:rsidR="001D21FF" w:rsidRPr="00BF34D6" w:rsidRDefault="000F005A" w:rsidP="00BF34D6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1986AAFF" w:rsidR="000F005A" w:rsidRPr="00BF34D6" w:rsidRDefault="009F2DE9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严格执行《标准化工作导则</w:t>
      </w:r>
      <w:r w:rsidRPr="00BF34D6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291067D4" w:rsidR="001D21FF" w:rsidRPr="00BF34D6" w:rsidRDefault="000F005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四、与现行法律、法规、标准的关系</w:t>
      </w:r>
    </w:p>
    <w:p w14:paraId="0C9EE0E3" w14:textId="62C30373" w:rsidR="000F005A" w:rsidRPr="00BF34D6" w:rsidRDefault="00020A87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62B77059" w14:textId="756BF506" w:rsidR="001D21FF" w:rsidRPr="00BF34D6" w:rsidRDefault="000F005A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五、确定各项技术内容</w:t>
      </w:r>
    </w:p>
    <w:p w14:paraId="3DC32F49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1.提出羊楼洞翠毫茶的定义</w:t>
      </w:r>
    </w:p>
    <w:p w14:paraId="325DE172" w14:textId="1589FC85" w:rsidR="001D21FF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以赤壁境内生态环境良好地区的茶树鲜叶为原料，经摊青、杀青、揉捻、理条整形、干燥、提香等工艺加工而成的具有外形紧细、显毫，汤色清澈明亮，香气栗香高、持久，回味甘甜等特定品质的绿茶。</w:t>
      </w:r>
    </w:p>
    <w:p w14:paraId="69A93B34" w14:textId="16F974CE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2</w:t>
      </w:r>
      <w:r w:rsidRPr="00BF34D6">
        <w:rPr>
          <w:rFonts w:ascii="宋体" w:eastAsia="宋体" w:hAnsi="宋体" w:cs="仿宋"/>
          <w:szCs w:val="21"/>
        </w:rPr>
        <w:t>.规定了羊楼洞翠毫茶加工条件</w:t>
      </w:r>
    </w:p>
    <w:p w14:paraId="7B02C059" w14:textId="144EE99D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建立专用鲜叶处理区域，做到鲜叶入厂到出厂全程不落地。茶叶加工场地、加工用水、厂区布局和加工拼配车间等应符合GB 5749</w:t>
      </w:r>
      <w:r w:rsidRPr="00BF34D6">
        <w:rPr>
          <w:rFonts w:ascii="宋体" w:eastAsia="宋体" w:hAnsi="宋体" w:cs="仿宋" w:hint="eastAsia"/>
          <w:szCs w:val="21"/>
        </w:rPr>
        <w:t>-</w:t>
      </w:r>
      <w:r w:rsidRPr="00BF34D6">
        <w:rPr>
          <w:rFonts w:ascii="宋体" w:eastAsia="宋体" w:hAnsi="宋体" w:cs="仿宋"/>
          <w:szCs w:val="21"/>
        </w:rPr>
        <w:t xml:space="preserve">2006 </w:t>
      </w:r>
      <w:r w:rsidRPr="00BF34D6">
        <w:rPr>
          <w:rFonts w:ascii="宋体" w:eastAsia="宋体" w:hAnsi="宋体" w:cs="仿宋" w:hint="eastAsia"/>
          <w:szCs w:val="21"/>
        </w:rPr>
        <w:t>生活饮用水卫生标准</w:t>
      </w:r>
      <w:r w:rsidRPr="00BF34D6">
        <w:rPr>
          <w:rFonts w:ascii="宋体" w:eastAsia="宋体" w:hAnsi="宋体" w:cs="仿宋"/>
          <w:szCs w:val="21"/>
        </w:rPr>
        <w:t>和GB/T 32744</w:t>
      </w:r>
      <w:r w:rsidRPr="00BF34D6">
        <w:rPr>
          <w:rFonts w:ascii="宋体" w:eastAsia="宋体" w:hAnsi="宋体" w:cs="仿宋" w:hint="eastAsia"/>
          <w:szCs w:val="21"/>
        </w:rPr>
        <w:t>-</w:t>
      </w:r>
      <w:r w:rsidRPr="00BF34D6">
        <w:rPr>
          <w:rFonts w:ascii="宋体" w:eastAsia="宋体" w:hAnsi="宋体" w:cs="仿宋"/>
          <w:szCs w:val="21"/>
        </w:rPr>
        <w:t>2016 茶叶加工良好规范的规定。加工过程中的设备、用具和人员要求应符合JB/T 10808</w:t>
      </w:r>
      <w:r w:rsidRPr="00BF34D6">
        <w:rPr>
          <w:rFonts w:ascii="宋体" w:eastAsia="宋体" w:hAnsi="宋体" w:cs="仿宋" w:hint="eastAsia"/>
          <w:szCs w:val="21"/>
        </w:rPr>
        <w:t>-</w:t>
      </w:r>
      <w:r w:rsidRPr="00BF34D6">
        <w:rPr>
          <w:rFonts w:ascii="宋体" w:eastAsia="宋体" w:hAnsi="宋体" w:cs="仿宋"/>
          <w:szCs w:val="21"/>
        </w:rPr>
        <w:t>2007 茶叶加工成套设备和GB/T 32744</w:t>
      </w:r>
      <w:r w:rsidRPr="00BF34D6">
        <w:rPr>
          <w:rFonts w:ascii="宋体" w:eastAsia="宋体" w:hAnsi="宋体" w:cs="仿宋" w:hint="eastAsia"/>
          <w:szCs w:val="21"/>
        </w:rPr>
        <w:t>-</w:t>
      </w:r>
      <w:r w:rsidRPr="00BF34D6">
        <w:rPr>
          <w:rFonts w:ascii="宋体" w:eastAsia="宋体" w:hAnsi="宋体" w:cs="仿宋"/>
          <w:szCs w:val="21"/>
        </w:rPr>
        <w:t>2016 茶叶加工良好规范的规定。</w:t>
      </w:r>
    </w:p>
    <w:p w14:paraId="0D6F119B" w14:textId="05F46BDB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</w:t>
      </w:r>
      <w:r w:rsidRPr="00BF34D6">
        <w:rPr>
          <w:rFonts w:ascii="宋体" w:eastAsia="宋体" w:hAnsi="宋体" w:cs="仿宋" w:hint="eastAsia"/>
          <w:szCs w:val="21"/>
        </w:rPr>
        <w:t>提出</w:t>
      </w:r>
      <w:r w:rsidRPr="00BF34D6">
        <w:rPr>
          <w:rFonts w:ascii="宋体" w:eastAsia="宋体" w:hAnsi="宋体" w:cs="仿宋"/>
          <w:szCs w:val="21"/>
        </w:rPr>
        <w:t>了羊楼洞翠毫茶加工</w:t>
      </w:r>
      <w:r w:rsidRPr="00BF34D6">
        <w:rPr>
          <w:rFonts w:ascii="宋体" w:eastAsia="宋体" w:hAnsi="宋体" w:cs="仿宋" w:hint="eastAsia"/>
          <w:szCs w:val="21"/>
        </w:rPr>
        <w:t>工艺</w:t>
      </w:r>
    </w:p>
    <w:p w14:paraId="7C52AE0F" w14:textId="6C4FDA6C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lastRenderedPageBreak/>
        <w:t>3.1 工艺流程</w:t>
      </w:r>
    </w:p>
    <w:p w14:paraId="0AEC720F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摊青→杀青→摊凉→揉捻→二青→理条整形→初烘→足干提香→包装→冷藏保鲜。</w:t>
      </w:r>
    </w:p>
    <w:p w14:paraId="2BE05FA0" w14:textId="6DB1FEE1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3.2工艺要求</w:t>
      </w:r>
    </w:p>
    <w:p w14:paraId="59C13D1D" w14:textId="72949B29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3.2.1摊青</w:t>
      </w:r>
    </w:p>
    <w:p w14:paraId="65526005" w14:textId="125CC660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 xml:space="preserve"> 均匀平铺在篾制的竹帘上，置阴凉通风处，厚度3-5cm，每隔2h翻动一次，一般摊放4-6h。待叶质由生硬变为柔软，叶色由鲜绿转暗绿，青气消失，清香显露，含水率降至70%左右即可。</w:t>
      </w:r>
    </w:p>
    <w:p w14:paraId="243A7B88" w14:textId="164D06B2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3.2.2 杀青</w:t>
      </w:r>
    </w:p>
    <w:p w14:paraId="72A1D078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要求杀匀、杀透、不焦糊、不红变。</w:t>
      </w:r>
      <w:r w:rsidRPr="00BF34D6">
        <w:rPr>
          <w:rFonts w:ascii="宋体" w:eastAsia="宋体" w:hAnsi="宋体" w:cs="仿宋"/>
          <w:szCs w:val="21"/>
        </w:rPr>
        <w:t xml:space="preserve"> 杀青叶叶色暗绿，手握有刺手感，青气消失，清香初露，含水量58%～60%为宜。</w:t>
      </w:r>
    </w:p>
    <w:p w14:paraId="44C7710C" w14:textId="2E9B3DCE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3.2.3摊凉</w:t>
      </w:r>
    </w:p>
    <w:p w14:paraId="3248B11A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要求杀青叶快速冷却，可在杀青机出口放电风扇或鼓风机，以尽快降低叶温，摊凉程度以芽叶中水份分布均匀，叶质回软为宜。</w:t>
      </w:r>
    </w:p>
    <w:p w14:paraId="29BF00D2" w14:textId="2E3BDBE9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3.2.4揉捻</w:t>
      </w:r>
    </w:p>
    <w:p w14:paraId="1F8F51FB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嫩叶轻压短揉，老叶重压长揉，揉捻加压掌握“轻、重、轻”原则。捻揉程度以茶条卷拢茶汁略渗出，一级和二级茶成条率达</w:t>
      </w:r>
      <w:r w:rsidRPr="00BF34D6">
        <w:rPr>
          <w:rFonts w:ascii="宋体" w:eastAsia="宋体" w:hAnsi="宋体" w:cs="仿宋"/>
          <w:szCs w:val="21"/>
        </w:rPr>
        <w:t>95%以上，三级茶成条率达90%以上为宜。</w:t>
      </w:r>
    </w:p>
    <w:p w14:paraId="0C32F96A" w14:textId="481EA21D" w:rsidR="00D225A0" w:rsidRPr="00BF34D6" w:rsidRDefault="00D225A0" w:rsidP="00BF34D6">
      <w:pPr>
        <w:spacing w:beforeLines="50" w:before="156"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表</w:t>
      </w:r>
      <w:r w:rsidRPr="00BF34D6">
        <w:rPr>
          <w:rFonts w:ascii="宋体" w:eastAsia="宋体" w:hAnsi="宋体" w:cs="仿宋"/>
          <w:szCs w:val="21"/>
        </w:rPr>
        <w:t>1 揉捻时间不同对品质的影响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126"/>
        <w:gridCol w:w="1560"/>
        <w:gridCol w:w="1275"/>
        <w:gridCol w:w="1134"/>
        <w:gridCol w:w="1128"/>
      </w:tblGrid>
      <w:tr w:rsidR="00D225A0" w:rsidRPr="0006165E" w14:paraId="7281E1FB" w14:textId="77777777" w:rsidTr="0006165E">
        <w:trPr>
          <w:jc w:val="center"/>
        </w:trPr>
        <w:tc>
          <w:tcPr>
            <w:tcW w:w="1417" w:type="dxa"/>
            <w:vAlign w:val="center"/>
          </w:tcPr>
          <w:p w14:paraId="63F19D87" w14:textId="5498EE32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揉捻时间</w:t>
            </w:r>
          </w:p>
        </w:tc>
        <w:tc>
          <w:tcPr>
            <w:tcW w:w="2126" w:type="dxa"/>
            <w:vAlign w:val="center"/>
          </w:tcPr>
          <w:p w14:paraId="473536E8" w14:textId="09F6D02E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外形</w:t>
            </w:r>
          </w:p>
        </w:tc>
        <w:tc>
          <w:tcPr>
            <w:tcW w:w="1560" w:type="dxa"/>
            <w:vAlign w:val="center"/>
          </w:tcPr>
          <w:p w14:paraId="5F884D94" w14:textId="5C9D2A49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香气</w:t>
            </w:r>
          </w:p>
        </w:tc>
        <w:tc>
          <w:tcPr>
            <w:tcW w:w="1275" w:type="dxa"/>
            <w:vAlign w:val="center"/>
          </w:tcPr>
          <w:p w14:paraId="0B1504CE" w14:textId="146C077E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汤色</w:t>
            </w:r>
          </w:p>
        </w:tc>
        <w:tc>
          <w:tcPr>
            <w:tcW w:w="1134" w:type="dxa"/>
            <w:vAlign w:val="center"/>
          </w:tcPr>
          <w:p w14:paraId="406604BD" w14:textId="0F681F81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滋味</w:t>
            </w:r>
          </w:p>
        </w:tc>
        <w:tc>
          <w:tcPr>
            <w:tcW w:w="1128" w:type="dxa"/>
            <w:vAlign w:val="center"/>
          </w:tcPr>
          <w:p w14:paraId="24D09F74" w14:textId="288D4A38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叶底</w:t>
            </w:r>
          </w:p>
        </w:tc>
      </w:tr>
      <w:tr w:rsidR="00D225A0" w:rsidRPr="0006165E" w14:paraId="631E3E07" w14:textId="77777777" w:rsidTr="0006165E">
        <w:trPr>
          <w:jc w:val="center"/>
        </w:trPr>
        <w:tc>
          <w:tcPr>
            <w:tcW w:w="1417" w:type="dxa"/>
            <w:vAlign w:val="center"/>
          </w:tcPr>
          <w:p w14:paraId="7BC746E7" w14:textId="6A1CE554" w:rsidR="00D225A0" w:rsidRPr="0006165E" w:rsidRDefault="00D225A0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5</w:t>
            </w:r>
            <w:r w:rsidR="003F706B" w:rsidRPr="0006165E">
              <w:rPr>
                <w:rFonts w:ascii="宋体" w:eastAsia="宋体" w:hAnsi="宋体" w:cs="仿宋" w:hint="eastAsia"/>
                <w:sz w:val="18"/>
                <w:szCs w:val="18"/>
              </w:rPr>
              <w:t>-</w:t>
            </w:r>
            <w:r w:rsidRPr="0006165E">
              <w:rPr>
                <w:rFonts w:ascii="宋体" w:eastAsia="宋体" w:hAnsi="宋体" w:cs="仿宋"/>
                <w:sz w:val="18"/>
                <w:szCs w:val="18"/>
              </w:rPr>
              <w:t>10</w:t>
            </w:r>
            <w:r w:rsidR="003F706B" w:rsidRPr="0006165E">
              <w:rPr>
                <w:rFonts w:ascii="宋体" w:eastAsia="宋体" w:hAnsi="宋体" w:cs="仿宋" w:hint="eastAsia"/>
                <w:sz w:val="18"/>
                <w:szCs w:val="18"/>
              </w:rPr>
              <w:t>分钟</w:t>
            </w:r>
          </w:p>
        </w:tc>
        <w:tc>
          <w:tcPr>
            <w:tcW w:w="2126" w:type="dxa"/>
            <w:vAlign w:val="center"/>
          </w:tcPr>
          <w:p w14:paraId="26F7FB57" w14:textId="19031EE7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条索细嫩、白毫显现</w:t>
            </w:r>
          </w:p>
        </w:tc>
        <w:tc>
          <w:tcPr>
            <w:tcW w:w="1560" w:type="dxa"/>
            <w:vAlign w:val="center"/>
          </w:tcPr>
          <w:p w14:paraId="1271EFFB" w14:textId="4195D4DB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栗香浓烈持久</w:t>
            </w:r>
          </w:p>
        </w:tc>
        <w:tc>
          <w:tcPr>
            <w:tcW w:w="1275" w:type="dxa"/>
            <w:vAlign w:val="center"/>
          </w:tcPr>
          <w:p w14:paraId="38102C94" w14:textId="1D5B712D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嫩绿清澈</w:t>
            </w:r>
          </w:p>
        </w:tc>
        <w:tc>
          <w:tcPr>
            <w:tcW w:w="1134" w:type="dxa"/>
            <w:vAlign w:val="center"/>
          </w:tcPr>
          <w:p w14:paraId="5F8AECAD" w14:textId="48E5D1FE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鲜浓甘醇</w:t>
            </w:r>
          </w:p>
        </w:tc>
        <w:tc>
          <w:tcPr>
            <w:tcW w:w="1128" w:type="dxa"/>
            <w:vAlign w:val="center"/>
          </w:tcPr>
          <w:p w14:paraId="6FA68A8D" w14:textId="0481E8CF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细嫩明亮</w:t>
            </w:r>
          </w:p>
        </w:tc>
      </w:tr>
      <w:tr w:rsidR="00D225A0" w:rsidRPr="0006165E" w14:paraId="5FB2C63D" w14:textId="77777777" w:rsidTr="0006165E">
        <w:trPr>
          <w:jc w:val="center"/>
        </w:trPr>
        <w:tc>
          <w:tcPr>
            <w:tcW w:w="1417" w:type="dxa"/>
            <w:vAlign w:val="center"/>
          </w:tcPr>
          <w:p w14:paraId="1A3E87A9" w14:textId="20B82A6E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10</w:t>
            </w: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-</w:t>
            </w:r>
            <w:r w:rsidRPr="0006165E">
              <w:rPr>
                <w:rFonts w:ascii="宋体" w:eastAsia="宋体" w:hAnsi="宋体" w:cs="仿宋"/>
                <w:sz w:val="18"/>
                <w:szCs w:val="18"/>
              </w:rPr>
              <w:t>25</w:t>
            </w: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分钟</w:t>
            </w:r>
          </w:p>
        </w:tc>
        <w:tc>
          <w:tcPr>
            <w:tcW w:w="2126" w:type="dxa"/>
            <w:vAlign w:val="center"/>
          </w:tcPr>
          <w:p w14:paraId="6BE70E32" w14:textId="27C5463B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条索细紧、翠绿显毫</w:t>
            </w:r>
          </w:p>
        </w:tc>
        <w:tc>
          <w:tcPr>
            <w:tcW w:w="1560" w:type="dxa"/>
            <w:vAlign w:val="center"/>
          </w:tcPr>
          <w:p w14:paraId="1A189006" w14:textId="1F550B3C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嫩香持久</w:t>
            </w:r>
          </w:p>
        </w:tc>
        <w:tc>
          <w:tcPr>
            <w:tcW w:w="1275" w:type="dxa"/>
            <w:vAlign w:val="center"/>
          </w:tcPr>
          <w:p w14:paraId="3B59F366" w14:textId="4FA5E43A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嫩绿明亮</w:t>
            </w:r>
          </w:p>
        </w:tc>
        <w:tc>
          <w:tcPr>
            <w:tcW w:w="1134" w:type="dxa"/>
            <w:vAlign w:val="center"/>
          </w:tcPr>
          <w:p w14:paraId="04DB52E5" w14:textId="0DFDB985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鲜爽浓厚</w:t>
            </w:r>
          </w:p>
        </w:tc>
        <w:tc>
          <w:tcPr>
            <w:tcW w:w="1128" w:type="dxa"/>
            <w:vAlign w:val="center"/>
          </w:tcPr>
          <w:p w14:paraId="6D07CF90" w14:textId="44A4F21F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嫩绿匀齐</w:t>
            </w:r>
          </w:p>
        </w:tc>
      </w:tr>
      <w:tr w:rsidR="00D225A0" w:rsidRPr="0006165E" w14:paraId="3F4B4BDA" w14:textId="77777777" w:rsidTr="0006165E">
        <w:trPr>
          <w:jc w:val="center"/>
        </w:trPr>
        <w:tc>
          <w:tcPr>
            <w:tcW w:w="1417" w:type="dxa"/>
            <w:vAlign w:val="center"/>
          </w:tcPr>
          <w:p w14:paraId="686C06F9" w14:textId="61E63FBF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25</w:t>
            </w: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分钟以上</w:t>
            </w:r>
          </w:p>
        </w:tc>
        <w:tc>
          <w:tcPr>
            <w:tcW w:w="2126" w:type="dxa"/>
            <w:vAlign w:val="center"/>
          </w:tcPr>
          <w:p w14:paraId="13545F1E" w14:textId="562415C1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 w:hint="eastAsia"/>
                <w:sz w:val="18"/>
                <w:szCs w:val="18"/>
              </w:rPr>
              <w:t>条索稍紧</w:t>
            </w:r>
          </w:p>
        </w:tc>
        <w:tc>
          <w:tcPr>
            <w:tcW w:w="1560" w:type="dxa"/>
            <w:vAlign w:val="center"/>
          </w:tcPr>
          <w:p w14:paraId="26D1C184" w14:textId="00DD0667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清香尚久</w:t>
            </w:r>
          </w:p>
        </w:tc>
        <w:tc>
          <w:tcPr>
            <w:tcW w:w="1275" w:type="dxa"/>
            <w:vAlign w:val="center"/>
          </w:tcPr>
          <w:p w14:paraId="57F9A098" w14:textId="44F5664B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尚明亮</w:t>
            </w:r>
          </w:p>
        </w:tc>
        <w:tc>
          <w:tcPr>
            <w:tcW w:w="1134" w:type="dxa"/>
            <w:vAlign w:val="center"/>
          </w:tcPr>
          <w:p w14:paraId="1E92D78A" w14:textId="12523678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清爽醇正</w:t>
            </w:r>
          </w:p>
        </w:tc>
        <w:tc>
          <w:tcPr>
            <w:tcW w:w="1128" w:type="dxa"/>
            <w:vAlign w:val="center"/>
          </w:tcPr>
          <w:p w14:paraId="02638754" w14:textId="1D27B779" w:rsidR="00D225A0" w:rsidRPr="0006165E" w:rsidRDefault="003F706B" w:rsidP="0006165E">
            <w:pPr>
              <w:spacing w:beforeLines="50" w:before="156"/>
              <w:jc w:val="center"/>
              <w:rPr>
                <w:rFonts w:ascii="宋体" w:eastAsia="宋体" w:hAnsi="宋体" w:cs="仿宋"/>
                <w:sz w:val="18"/>
                <w:szCs w:val="18"/>
              </w:rPr>
            </w:pPr>
            <w:r w:rsidRPr="0006165E">
              <w:rPr>
                <w:rFonts w:ascii="宋体" w:eastAsia="宋体" w:hAnsi="宋体" w:cs="仿宋"/>
                <w:sz w:val="18"/>
                <w:szCs w:val="18"/>
              </w:rPr>
              <w:t>破碎不齐</w:t>
            </w:r>
          </w:p>
        </w:tc>
      </w:tr>
    </w:tbl>
    <w:p w14:paraId="5848CDEB" w14:textId="7148DB5E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3.2.5 二青</w:t>
      </w:r>
    </w:p>
    <w:p w14:paraId="7C109200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茶条色泽变暗，有刺手感，叶缘变脆，含水量降至</w:t>
      </w:r>
      <w:r w:rsidRPr="00BF34D6">
        <w:rPr>
          <w:rFonts w:ascii="宋体" w:eastAsia="宋体" w:hAnsi="宋体" w:cs="仿宋"/>
          <w:szCs w:val="21"/>
        </w:rPr>
        <w:t>45%～50%即可。</w:t>
      </w:r>
    </w:p>
    <w:p w14:paraId="22BDFDD7" w14:textId="19912573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3.2.6理条整形</w:t>
      </w:r>
    </w:p>
    <w:p w14:paraId="6DBFF40C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搓条时应掌握“轻重轻”，以条索紧凑、白毫显露、茶香显露、芽叶有刺手感即可，</w:t>
      </w:r>
      <w:r w:rsidRPr="00BF34D6">
        <w:rPr>
          <w:rFonts w:ascii="宋体" w:eastAsia="宋体" w:hAnsi="宋体" w:cs="仿宋"/>
          <w:szCs w:val="21"/>
        </w:rPr>
        <w:t xml:space="preserve"> 此时茶叶含水量</w:t>
      </w:r>
      <w:r w:rsidRPr="00BF34D6">
        <w:rPr>
          <w:rFonts w:ascii="宋体" w:eastAsia="宋体" w:hAnsi="宋体" w:cs="仿宋"/>
          <w:szCs w:val="21"/>
        </w:rPr>
        <w:lastRenderedPageBreak/>
        <w:t>20%～25%。</w:t>
      </w:r>
    </w:p>
    <w:p w14:paraId="7802737B" w14:textId="3CEE0CD4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3.2.7初烘</w:t>
      </w:r>
    </w:p>
    <w:p w14:paraId="11153118" w14:textId="77777777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干燥至茶条收紧，有较强刺手感，茶叶含水量</w:t>
      </w:r>
      <w:r w:rsidRPr="00BF34D6">
        <w:rPr>
          <w:rFonts w:ascii="宋体" w:eastAsia="宋体" w:hAnsi="宋体" w:cs="仿宋"/>
          <w:szCs w:val="21"/>
        </w:rPr>
        <w:t>10%～15%即可。初烘后要充分摊凉，使茶叶内水分重新分布均匀。</w:t>
      </w:r>
    </w:p>
    <w:p w14:paraId="75091F7C" w14:textId="234FB898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>3.2.8足干提香</w:t>
      </w:r>
    </w:p>
    <w:p w14:paraId="3264EB80" w14:textId="7A09D9F8" w:rsidR="00D225A0" w:rsidRPr="00BF34D6" w:rsidRDefault="00D225A0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至茶叶足干，茶梗一折即断，手捻茶条即为粉末，茶叶含水</w:t>
      </w:r>
      <w:r w:rsidRPr="00BF34D6">
        <w:rPr>
          <w:rFonts w:ascii="宋体" w:eastAsia="宋体" w:hAnsi="宋体" w:cs="仿宋"/>
          <w:szCs w:val="21"/>
        </w:rPr>
        <w:t>5%～6%即可。</w:t>
      </w:r>
    </w:p>
    <w:p w14:paraId="569EA775" w14:textId="2B7EC08C" w:rsidR="001D21FF" w:rsidRPr="00BF34D6" w:rsidRDefault="00995407" w:rsidP="00BF34D6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六、标准可能带来的经济和社会影响评估</w:t>
      </w:r>
    </w:p>
    <w:p w14:paraId="1F8B1390" w14:textId="595196E3" w:rsidR="001D21FF" w:rsidRPr="00BF34D6" w:rsidRDefault="00E0741F" w:rsidP="00BF34D6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 w:hint="eastAsia"/>
          <w:szCs w:val="21"/>
        </w:rPr>
        <w:t>羊楼洞翠毫茶的开发是赤壁市茶产业发展的一项重大举措，对增加茶产品花色品种，提高夏秋茶资源利用，提高茶园产量，增加茶农收入，提升茶叶效益等具有重要意义，并促进赤壁茶产业多元化和高质量发展。</w:t>
      </w:r>
    </w:p>
    <w:p w14:paraId="1B25EDE9" w14:textId="36167585" w:rsidR="00995407" w:rsidRPr="00BF34D6" w:rsidRDefault="00995407" w:rsidP="00BF34D6">
      <w:pPr>
        <w:spacing w:beforeLines="50" w:before="156" w:afterLines="50" w:after="156"/>
        <w:ind w:firstLineChars="200" w:firstLine="420"/>
        <w:rPr>
          <w:rFonts w:ascii="宋体" w:eastAsia="宋体" w:hAnsi="宋体" w:cs="仿宋"/>
          <w:szCs w:val="21"/>
        </w:rPr>
      </w:pPr>
      <w:r w:rsidRPr="00BF34D6">
        <w:rPr>
          <w:rFonts w:ascii="黑体" w:eastAsia="黑体" w:hAnsi="黑体" w:cs="仿宋" w:hint="eastAsia"/>
          <w:szCs w:val="21"/>
        </w:rPr>
        <w:t>七、其他需要说明的事项</w:t>
      </w:r>
    </w:p>
    <w:p w14:paraId="7DC4062A" w14:textId="550E01A7" w:rsidR="006D12F2" w:rsidRPr="00BF34D6" w:rsidRDefault="009F2DE9" w:rsidP="00BF34D6">
      <w:pPr>
        <w:spacing w:beforeLines="50" w:before="156" w:line="360" w:lineRule="auto"/>
        <w:rPr>
          <w:rFonts w:ascii="宋体" w:eastAsia="宋体" w:hAnsi="宋体" w:cs="仿宋"/>
          <w:szCs w:val="21"/>
        </w:rPr>
      </w:pPr>
      <w:r w:rsidRPr="00BF34D6">
        <w:rPr>
          <w:rFonts w:ascii="宋体" w:eastAsia="宋体" w:hAnsi="宋体" w:cs="仿宋"/>
          <w:szCs w:val="21"/>
        </w:rPr>
        <w:t xml:space="preserve">    无</w:t>
      </w:r>
      <w:r w:rsidR="00BF34D6">
        <w:rPr>
          <w:rFonts w:ascii="宋体" w:eastAsia="宋体" w:hAnsi="宋体" w:cs="仿宋" w:hint="eastAsia"/>
          <w:szCs w:val="21"/>
        </w:rPr>
        <w:t>。</w:t>
      </w:r>
    </w:p>
    <w:sectPr w:rsidR="006D12F2" w:rsidRPr="00BF34D6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B7B2" w14:textId="77777777" w:rsidR="00D16935" w:rsidRDefault="00D16935" w:rsidP="00971DD1">
      <w:r>
        <w:separator/>
      </w:r>
    </w:p>
  </w:endnote>
  <w:endnote w:type="continuationSeparator" w:id="0">
    <w:p w14:paraId="2BA2EF6B" w14:textId="77777777" w:rsidR="00D16935" w:rsidRDefault="00D16935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1970D" w14:textId="77777777" w:rsidR="00D16935" w:rsidRDefault="00D16935" w:rsidP="00971DD1">
      <w:r>
        <w:separator/>
      </w:r>
    </w:p>
  </w:footnote>
  <w:footnote w:type="continuationSeparator" w:id="0">
    <w:p w14:paraId="5C1E2CF9" w14:textId="77777777" w:rsidR="00D16935" w:rsidRDefault="00D16935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20A87"/>
    <w:rsid w:val="0006165E"/>
    <w:rsid w:val="000B326F"/>
    <w:rsid w:val="000F005A"/>
    <w:rsid w:val="00103307"/>
    <w:rsid w:val="001A76BB"/>
    <w:rsid w:val="001D21FF"/>
    <w:rsid w:val="00207B62"/>
    <w:rsid w:val="0032344C"/>
    <w:rsid w:val="003F706B"/>
    <w:rsid w:val="00557921"/>
    <w:rsid w:val="006A56CD"/>
    <w:rsid w:val="006D12F2"/>
    <w:rsid w:val="007D1291"/>
    <w:rsid w:val="00971DD1"/>
    <w:rsid w:val="00995407"/>
    <w:rsid w:val="009F2DE9"/>
    <w:rsid w:val="00BF34D6"/>
    <w:rsid w:val="00D16935"/>
    <w:rsid w:val="00D225A0"/>
    <w:rsid w:val="00D6085F"/>
    <w:rsid w:val="00E0741F"/>
    <w:rsid w:val="00E6188F"/>
    <w:rsid w:val="00EB17CA"/>
    <w:rsid w:val="00F70AED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uiPriority w:val="39"/>
    <w:rsid w:val="00D22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1073</Words>
  <Characters>1343</Characters>
  <Application>Microsoft Office Word</Application>
  <DocSecurity>0</DocSecurity>
  <Lines>223</Lines>
  <Paragraphs>201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2020-12-01T06:21:00Z</dcterms:created>
  <dcterms:modified xsi:type="dcterms:W3CDTF">2021-09-08T02:24:00Z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