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97A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eastAsia="仿宋" w:cs="Times New Roman"/>
          <w:sz w:val="30"/>
          <w:szCs w:val="30"/>
          <w:lang w:val="en-US" w:eastAsia="zh-CN"/>
        </w:rPr>
      </w:pPr>
      <w:r>
        <w:rPr>
          <w:rFonts w:hint="eastAsia" w:ascii="黑体" w:hAnsi="黑体" w:eastAsia="黑体" w:cs="黑体"/>
          <w:b w:val="0"/>
          <w:bCs w:val="0"/>
          <w:kern w:val="2"/>
          <w:sz w:val="36"/>
          <w:szCs w:val="36"/>
          <w:lang w:val="en-US" w:eastAsia="zh-CN" w:bidi="ar-SA"/>
        </w:rPr>
        <w:tab/>
      </w:r>
      <w:r>
        <w:rPr>
          <w:rFonts w:hint="eastAsia" w:eastAsia="仿宋" w:cs="Times New Roman"/>
          <w:sz w:val="30"/>
          <w:szCs w:val="30"/>
          <w:lang w:val="en-US" w:eastAsia="zh-CN"/>
        </w:rPr>
        <w:t>附件5</w:t>
      </w:r>
    </w:p>
    <w:p w14:paraId="2C0BDF3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6"/>
          <w:szCs w:val="36"/>
          <w:lang w:val="en-US" w:eastAsia="zh-CN"/>
        </w:rPr>
      </w:pPr>
      <w:bookmarkStart w:id="8" w:name="_GoBack"/>
      <w:r>
        <w:rPr>
          <w:rFonts w:hint="eastAsia" w:ascii="黑体" w:hAnsi="黑体" w:eastAsia="黑体" w:cs="黑体"/>
          <w:sz w:val="36"/>
          <w:szCs w:val="36"/>
          <w:lang w:val="en-US" w:eastAsia="zh-CN"/>
        </w:rPr>
        <w:t>中国茶叶流通协会</w:t>
      </w:r>
    </w:p>
    <w:p w14:paraId="284B3AC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国际交流与合作工作委员会工作条例</w:t>
      </w:r>
    </w:p>
    <w:bookmarkEnd w:id="8"/>
    <w:p w14:paraId="07BDEA96">
      <w:pPr>
        <w:pStyle w:val="3"/>
        <w:keepNext/>
        <w:keepLines/>
        <w:pageBreakBefore w:val="0"/>
        <w:widowControl/>
        <w:kinsoku/>
        <w:wordWrap/>
        <w:overflowPunct/>
        <w:topLinePunct w:val="0"/>
        <w:autoSpaceDE/>
        <w:autoSpaceDN/>
        <w:bidi w:val="0"/>
        <w:adjustRightInd/>
        <w:snapToGrid/>
        <w:spacing w:before="0" w:beforeLines="0" w:after="0" w:line="560" w:lineRule="exact"/>
        <w:textAlignment w:val="auto"/>
        <w:rPr>
          <w:rFonts w:hint="eastAsia" w:ascii="黑体" w:hAnsi="黑体" w:eastAsia="黑体" w:cs="黑体"/>
          <w:b w:val="0"/>
          <w:bCs w:val="0"/>
          <w:color w:val="auto"/>
          <w:sz w:val="30"/>
          <w:szCs w:val="30"/>
        </w:rPr>
      </w:pPr>
      <w:bookmarkStart w:id="0" w:name="ef0101f1dc89f6c0ff046c437f240c96"/>
    </w:p>
    <w:p w14:paraId="31F7D335">
      <w:pPr>
        <w:pStyle w:val="3"/>
        <w:keepNext/>
        <w:keepLines/>
        <w:pageBreakBefore w:val="0"/>
        <w:widowControl/>
        <w:kinsoku/>
        <w:wordWrap/>
        <w:overflowPunct/>
        <w:topLinePunct w:val="0"/>
        <w:autoSpaceDE/>
        <w:autoSpaceDN/>
        <w:bidi w:val="0"/>
        <w:adjustRightInd/>
        <w:snapToGrid/>
        <w:spacing w:before="0" w:beforeLines="0" w:after="0" w:line="560" w:lineRule="exact"/>
        <w:textAlignment w:val="auto"/>
        <w:rPr>
          <w:rFonts w:hint="eastAsia" w:ascii="黑体" w:hAnsi="黑体" w:eastAsia="黑体" w:cs="黑体"/>
          <w:b w:val="0"/>
          <w:bCs w:val="0"/>
          <w:color w:val="auto"/>
          <w:sz w:val="30"/>
          <w:szCs w:val="30"/>
        </w:rPr>
      </w:pPr>
      <w:r>
        <w:rPr>
          <w:rFonts w:hint="eastAsia" w:ascii="黑体" w:hAnsi="黑体" w:eastAsia="黑体" w:cs="黑体"/>
          <w:b w:val="0"/>
          <w:bCs w:val="0"/>
          <w:color w:val="auto"/>
          <w:sz w:val="30"/>
          <w:szCs w:val="30"/>
        </w:rPr>
        <w:t>第一章</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总</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则</w:t>
      </w:r>
    </w:p>
    <w:p w14:paraId="68028E92">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w:t>
      </w:r>
      <w:r>
        <w:rPr>
          <w:rFonts w:hint="eastAsia" w:ascii="仿宋" w:hAnsi="仿宋" w:eastAsia="仿宋" w:cs="仿宋"/>
          <w:sz w:val="30"/>
          <w:szCs w:val="30"/>
          <w:lang w:val="en-US" w:eastAsia="zh-CN"/>
        </w:rPr>
        <w:t>专业委员会</w:t>
      </w:r>
      <w:r>
        <w:rPr>
          <w:rFonts w:hint="eastAsia" w:ascii="仿宋" w:hAnsi="仿宋" w:eastAsia="仿宋" w:cs="仿宋"/>
          <w:sz w:val="30"/>
          <w:szCs w:val="30"/>
        </w:rPr>
        <w:t>名称为：中国茶叶流通协会国际交流与合作工作委员会(简称为中茶协国际交流工委会)。英文名称为China Tea Marketing Association Committee on International Exchange and Cooperation</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(缩写为CTMA-CIEC)。本会为中国茶叶流通协会的分支机构之一。</w:t>
      </w:r>
    </w:p>
    <w:p w14:paraId="5A57BE0B">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本会会址在北京。</w:t>
      </w:r>
    </w:p>
    <w:p w14:paraId="33253C3D">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本会是由全国与国际交流与合作有关的企业、科研教学、文化传媒的单位及社会团体自愿组成，全面接受中国茶叶流通协会的领导。</w:t>
      </w:r>
    </w:p>
    <w:p w14:paraId="6DF4754A">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本会宗旨：按照社会主义市场经济的发展要求，发挥行业中介职能，以构建国际交流与合作工作平台为目标，推动中国国际交流与合作产业的健康发展。</w:t>
      </w:r>
    </w:p>
    <w:p w14:paraId="3A6F941A">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本会接受中国茶叶流通协会的领导，依照《中国茶叶流通协会章程》和本《工作</w:t>
      </w:r>
      <w:r>
        <w:rPr>
          <w:rFonts w:hint="eastAsia" w:ascii="仿宋" w:hAnsi="仿宋" w:eastAsia="仿宋" w:cs="仿宋"/>
          <w:sz w:val="30"/>
          <w:szCs w:val="30"/>
          <w:lang w:val="en-US" w:eastAsia="zh-CN"/>
        </w:rPr>
        <w:t>条例</w:t>
      </w:r>
      <w:r>
        <w:rPr>
          <w:rFonts w:hint="eastAsia" w:ascii="仿宋" w:hAnsi="仿宋" w:eastAsia="仿宋" w:cs="仿宋"/>
          <w:sz w:val="30"/>
          <w:szCs w:val="30"/>
        </w:rPr>
        <w:t>》开展工作。</w:t>
      </w:r>
    </w:p>
    <w:bookmarkEnd w:id="0"/>
    <w:p w14:paraId="6F915A34">
      <w:pPr>
        <w:pStyle w:val="3"/>
        <w:keepNext/>
        <w:keepLines/>
        <w:pageBreakBefore w:val="0"/>
        <w:widowControl/>
        <w:kinsoku/>
        <w:wordWrap/>
        <w:overflowPunct/>
        <w:topLinePunct w:val="0"/>
        <w:autoSpaceDE/>
        <w:autoSpaceDN/>
        <w:bidi w:val="0"/>
        <w:adjustRightInd/>
        <w:snapToGrid/>
        <w:spacing w:before="0" w:beforeLines="0" w:after="0" w:line="560" w:lineRule="exact"/>
        <w:textAlignment w:val="auto"/>
        <w:rPr>
          <w:rFonts w:hint="eastAsia" w:ascii="黑体" w:hAnsi="黑体" w:eastAsia="黑体" w:cs="黑体"/>
          <w:b w:val="0"/>
          <w:bCs w:val="0"/>
          <w:color w:val="auto"/>
          <w:sz w:val="30"/>
          <w:szCs w:val="30"/>
        </w:rPr>
      </w:pPr>
      <w:bookmarkStart w:id="1" w:name="X8912e7e1df6c29a029779ed5f5821a97d8c5166"/>
      <w:r>
        <w:rPr>
          <w:rFonts w:hint="eastAsia" w:ascii="黑体" w:hAnsi="黑体" w:eastAsia="黑体" w:cs="黑体"/>
          <w:b w:val="0"/>
          <w:bCs w:val="0"/>
          <w:color w:val="auto"/>
          <w:sz w:val="30"/>
          <w:szCs w:val="30"/>
        </w:rPr>
        <w:t>第二章</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任</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务</w:t>
      </w:r>
    </w:p>
    <w:p w14:paraId="4D3B6D86">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发挥委员和政府部门之间的桥梁和纽带作用。贯彻政府有关国际交流与合作工作建设与发展的方针政策，协助政府有关部门对国际交流与合作工作进行服务、指导、协调、咨询，监督委员遵守国家有关法律、法规；维护委员的合法权益，向政府有关部门反映委员的意见和要求，探讨解决问题的措施和办法，争取政府有关部门对国际交流与合作工作的政策支持。</w:t>
      </w:r>
    </w:p>
    <w:p w14:paraId="0F5E8EC9">
      <w:pPr>
        <w:pStyle w:val="5"/>
        <w:keepNext w:val="0"/>
        <w:keepLines w:val="0"/>
        <w:pageBreakBefore w:val="0"/>
        <w:widowControl/>
        <w:numPr>
          <w:ilvl w:val="0"/>
          <w:numId w:val="1"/>
        </w:numPr>
        <w:kinsoku/>
        <w:wordWrap/>
        <w:overflowPunct/>
        <w:topLinePunct w:val="0"/>
        <w:autoSpaceDE/>
        <w:autoSpaceDN/>
        <w:bidi w:val="0"/>
        <w:adjustRightInd/>
        <w:snapToGrid/>
        <w:spacing w:before="0" w:line="560" w:lineRule="exact"/>
        <w:ind w:left="0" w:leftChars="0" w:firstLine="600" w:firstLineChars="200"/>
        <w:textAlignment w:val="auto"/>
        <w:rPr>
          <w:rFonts w:hint="eastAsia" w:ascii="仿宋" w:hAnsi="仿宋" w:eastAsia="仿宋" w:cs="仿宋"/>
          <w:color w:val="000000" w:themeColor="text1"/>
          <w:sz w:val="30"/>
          <w:szCs w:val="30"/>
          <w:lang w:val="en-US" w:eastAsia="en-US" w:bidi="ar-SA"/>
          <w14:textFill>
            <w14:solidFill>
              <w14:schemeClr w14:val="tx1"/>
            </w14:solidFill>
          </w14:textFill>
        </w:rPr>
      </w:pPr>
      <w:r>
        <w:rPr>
          <w:rFonts w:hint="eastAsia" w:ascii="仿宋" w:hAnsi="仿宋" w:eastAsia="仿宋" w:cs="仿宋"/>
          <w:color w:val="000000" w:themeColor="text1"/>
          <w:sz w:val="30"/>
          <w:szCs w:val="30"/>
          <w:lang w:val="en-US" w:eastAsia="en-US" w:bidi="ar-SA"/>
          <w14:textFill>
            <w14:solidFill>
              <w14:schemeClr w14:val="tx1"/>
            </w14:solidFill>
          </w14:textFill>
        </w:rPr>
        <w:t>配合国家相关机构开展国际交流与合作工作，发挥中介机构作用。</w:t>
      </w:r>
    </w:p>
    <w:p w14:paraId="654D6B58">
      <w:pPr>
        <w:pStyle w:val="5"/>
        <w:keepNext w:val="0"/>
        <w:keepLines w:val="0"/>
        <w:pageBreakBefore w:val="0"/>
        <w:widowControl/>
        <w:numPr>
          <w:ilvl w:val="0"/>
          <w:numId w:val="1"/>
        </w:numPr>
        <w:kinsoku/>
        <w:wordWrap/>
        <w:overflowPunct/>
        <w:topLinePunct w:val="0"/>
        <w:autoSpaceDE/>
        <w:autoSpaceDN/>
        <w:bidi w:val="0"/>
        <w:adjustRightInd/>
        <w:snapToGrid/>
        <w:spacing w:before="0" w:line="560" w:lineRule="exact"/>
        <w:ind w:left="0" w:leftChars="0" w:firstLine="600" w:firstLineChars="200"/>
        <w:textAlignment w:val="auto"/>
        <w:rPr>
          <w:rFonts w:hint="eastAsia" w:ascii="仿宋" w:hAnsi="仿宋" w:eastAsia="仿宋" w:cs="仿宋"/>
          <w:color w:val="000000" w:themeColor="text1"/>
          <w:sz w:val="30"/>
          <w:szCs w:val="30"/>
          <w:lang w:val="en-US" w:eastAsia="en-US" w:bidi="ar-SA"/>
          <w14:textFill>
            <w14:solidFill>
              <w14:schemeClr w14:val="tx1"/>
            </w14:solidFill>
          </w14:textFill>
        </w:rPr>
      </w:pPr>
      <w:r>
        <w:rPr>
          <w:rFonts w:hint="eastAsia" w:ascii="仿宋" w:hAnsi="仿宋" w:eastAsia="仿宋" w:cs="仿宋"/>
          <w:color w:val="000000" w:themeColor="text1"/>
          <w:sz w:val="30"/>
          <w:szCs w:val="30"/>
          <w:lang w:val="en-US" w:eastAsia="en-US" w:bidi="ar-SA"/>
          <w14:textFill>
            <w14:solidFill>
              <w14:schemeClr w14:val="tx1"/>
            </w14:solidFill>
          </w14:textFill>
        </w:rPr>
        <w:t>与国际茶叶委员会对接，组织开展国际交流与合作，开展内地同港、澳、台地区茶业界的交流与合作；组织实施与企业、科研单位、社会团体、</w:t>
      </w:r>
      <w:r>
        <w:rPr>
          <w:rFonts w:hint="eastAsia" w:ascii="仿宋" w:hAnsi="仿宋" w:eastAsia="仿宋" w:cs="仿宋"/>
          <w:color w:val="000000" w:themeColor="text1"/>
          <w:sz w:val="30"/>
          <w:szCs w:val="30"/>
          <w:lang w:val="en-US" w:eastAsia="zh-CN" w:bidi="ar-SA"/>
          <w14:textFill>
            <w14:solidFill>
              <w14:schemeClr w14:val="tx1"/>
            </w14:solidFill>
          </w14:textFill>
        </w:rPr>
        <w:t>基金</w:t>
      </w:r>
      <w:r>
        <w:rPr>
          <w:rFonts w:hint="eastAsia" w:ascii="仿宋" w:hAnsi="仿宋" w:eastAsia="仿宋" w:cs="仿宋"/>
          <w:color w:val="000000" w:themeColor="text1"/>
          <w:sz w:val="30"/>
          <w:szCs w:val="30"/>
          <w:lang w:val="en-US" w:eastAsia="en-US" w:bidi="ar-SA"/>
          <w14:textFill>
            <w14:solidFill>
              <w14:schemeClr w14:val="tx1"/>
            </w14:solidFill>
          </w14:textFill>
        </w:rPr>
        <w:t>会及其他国外机构的国际交流与合作项目；承担国外来访茶业相关团组及</w:t>
      </w:r>
      <w:r>
        <w:rPr>
          <w:rFonts w:hint="eastAsia" w:ascii="仿宋" w:hAnsi="仿宋" w:eastAsia="仿宋" w:cs="仿宋"/>
          <w:color w:val="000000" w:themeColor="text1"/>
          <w:sz w:val="30"/>
          <w:szCs w:val="30"/>
          <w:lang w:val="en-US" w:eastAsia="zh-CN" w:bidi="ar-SA"/>
          <w14:textFill>
            <w14:solidFill>
              <w14:schemeClr w14:val="tx1"/>
            </w14:solidFill>
          </w14:textFill>
        </w:rPr>
        <w:t>人员</w:t>
      </w:r>
      <w:r>
        <w:rPr>
          <w:rFonts w:hint="eastAsia" w:ascii="仿宋" w:hAnsi="仿宋" w:eastAsia="仿宋" w:cs="仿宋"/>
          <w:color w:val="000000" w:themeColor="text1"/>
          <w:sz w:val="30"/>
          <w:szCs w:val="30"/>
          <w:lang w:val="en-US" w:eastAsia="en-US" w:bidi="ar-SA"/>
          <w14:textFill>
            <w14:solidFill>
              <w14:schemeClr w14:val="tx1"/>
            </w14:solidFill>
          </w14:textFill>
        </w:rPr>
        <w:t>的接待工作</w:t>
      </w:r>
      <w:r>
        <w:rPr>
          <w:rFonts w:hint="eastAsia" w:ascii="仿宋" w:hAnsi="仿宋" w:eastAsia="仿宋" w:cs="仿宋"/>
          <w:color w:val="000000" w:themeColor="text1"/>
          <w:sz w:val="30"/>
          <w:szCs w:val="30"/>
          <w:lang w:val="en-US" w:eastAsia="zh-CN" w:bidi="ar-SA"/>
          <w14:textFill>
            <w14:solidFill>
              <w14:schemeClr w14:val="tx1"/>
            </w14:solidFill>
          </w14:textFill>
        </w:rPr>
        <w:t>；</w:t>
      </w:r>
      <w:r>
        <w:rPr>
          <w:rFonts w:hint="eastAsia" w:ascii="仿宋" w:hAnsi="仿宋" w:eastAsia="仿宋" w:cs="仿宋"/>
          <w:color w:val="000000" w:themeColor="text1"/>
          <w:sz w:val="30"/>
          <w:szCs w:val="30"/>
          <w:lang w:val="en-US" w:eastAsia="en-US" w:bidi="ar-SA"/>
          <w14:textFill>
            <w14:solidFill>
              <w14:schemeClr w14:val="tx1"/>
            </w14:solidFill>
          </w14:textFill>
        </w:rPr>
        <w:t>组织茶业界有关人员赴国(境)外考察、培训等活动；组织和参加国际茶业展览和会议；进行国际间行业数据交流；开展相关的技术交流与咨询服务</w:t>
      </w:r>
      <w:r>
        <w:rPr>
          <w:rFonts w:hint="eastAsia" w:ascii="仿宋" w:hAnsi="仿宋" w:eastAsia="仿宋" w:cs="仿宋"/>
          <w:color w:val="000000" w:themeColor="text1"/>
          <w:sz w:val="30"/>
          <w:szCs w:val="30"/>
          <w:lang w:val="en-US" w:eastAsia="zh-CN" w:bidi="ar-SA"/>
          <w14:textFill>
            <w14:solidFill>
              <w14:schemeClr w14:val="tx1"/>
            </w14:solidFill>
          </w14:textFill>
        </w:rPr>
        <w:t>；</w:t>
      </w:r>
      <w:r>
        <w:rPr>
          <w:rFonts w:hint="eastAsia" w:ascii="仿宋" w:hAnsi="仿宋" w:eastAsia="仿宋" w:cs="仿宋"/>
          <w:color w:val="000000" w:themeColor="text1"/>
          <w:sz w:val="30"/>
          <w:szCs w:val="30"/>
          <w:lang w:val="en-US" w:eastAsia="en-US" w:bidi="ar-SA"/>
          <w14:textFill>
            <w14:solidFill>
              <w14:schemeClr w14:val="tx1"/>
            </w14:solidFill>
          </w14:textFill>
        </w:rPr>
        <w:t>促进中国与国(境)外茶叶企业发展贸易，建立海外沟通与营销渠道等。</w:t>
      </w:r>
    </w:p>
    <w:p w14:paraId="5D4FF8F9">
      <w:pPr>
        <w:pStyle w:val="5"/>
        <w:keepNext w:val="0"/>
        <w:keepLines w:val="0"/>
        <w:pageBreakBefore w:val="0"/>
        <w:widowControl/>
        <w:numPr>
          <w:ilvl w:val="0"/>
          <w:numId w:val="1"/>
        </w:numPr>
        <w:kinsoku/>
        <w:wordWrap/>
        <w:overflowPunct/>
        <w:topLinePunct w:val="0"/>
        <w:autoSpaceDE/>
        <w:autoSpaceDN/>
        <w:bidi w:val="0"/>
        <w:adjustRightInd/>
        <w:snapToGrid/>
        <w:spacing w:before="0" w:line="560" w:lineRule="exact"/>
        <w:ind w:left="0" w:leftChars="0" w:firstLine="600" w:firstLineChars="200"/>
        <w:textAlignment w:val="auto"/>
        <w:rPr>
          <w:rFonts w:hint="eastAsia" w:ascii="仿宋" w:hAnsi="仿宋" w:eastAsia="仿宋" w:cs="仿宋"/>
          <w:color w:val="000000" w:themeColor="text1"/>
          <w:sz w:val="30"/>
          <w:szCs w:val="30"/>
          <w:lang w:val="en-US" w:eastAsia="en-US" w:bidi="ar-SA"/>
          <w14:textFill>
            <w14:solidFill>
              <w14:schemeClr w14:val="tx1"/>
            </w14:solidFill>
          </w14:textFill>
        </w:rPr>
      </w:pPr>
      <w:r>
        <w:rPr>
          <w:rFonts w:hint="eastAsia" w:ascii="仿宋" w:hAnsi="仿宋" w:eastAsia="仿宋" w:cs="仿宋"/>
          <w:color w:val="000000" w:themeColor="text1"/>
          <w:sz w:val="30"/>
          <w:szCs w:val="30"/>
          <w:lang w:val="en-US" w:eastAsia="en-US" w:bidi="ar-SA"/>
          <w14:textFill>
            <w14:solidFill>
              <w14:schemeClr w14:val="tx1"/>
            </w14:solidFill>
          </w14:textFill>
        </w:rPr>
        <w:t>协调委员之间的关系，为委员提供法律咨询服务，加强行业自律。通过建立对话、协商和制定行规的自律机制，调解委员之间发生的业务纠纷，制止委员之间的不正当竞争，建立公平、公开、公正的竞争环境。</w:t>
      </w:r>
    </w:p>
    <w:p w14:paraId="0BB124CD">
      <w:pPr>
        <w:pStyle w:val="5"/>
        <w:keepNext w:val="0"/>
        <w:keepLines w:val="0"/>
        <w:pageBreakBefore w:val="0"/>
        <w:widowControl/>
        <w:numPr>
          <w:ilvl w:val="0"/>
          <w:numId w:val="1"/>
        </w:numPr>
        <w:kinsoku/>
        <w:wordWrap/>
        <w:overflowPunct/>
        <w:topLinePunct w:val="0"/>
        <w:autoSpaceDE/>
        <w:autoSpaceDN/>
        <w:bidi w:val="0"/>
        <w:adjustRightInd/>
        <w:snapToGrid/>
        <w:spacing w:before="0" w:line="560" w:lineRule="exact"/>
        <w:ind w:left="0" w:leftChars="0" w:firstLine="600" w:firstLineChars="200"/>
        <w:textAlignment w:val="auto"/>
        <w:rPr>
          <w:rFonts w:hint="eastAsia" w:ascii="仿宋" w:hAnsi="仿宋" w:eastAsia="仿宋" w:cs="仿宋"/>
          <w:color w:val="000000" w:themeColor="text1"/>
          <w:sz w:val="30"/>
          <w:szCs w:val="30"/>
          <w:lang w:val="en-US" w:eastAsia="en-US" w:bidi="ar-SA"/>
          <w14:textFill>
            <w14:solidFill>
              <w14:schemeClr w14:val="tx1"/>
            </w14:solidFill>
          </w14:textFill>
        </w:rPr>
      </w:pPr>
      <w:r>
        <w:rPr>
          <w:rFonts w:hint="eastAsia" w:ascii="仿宋" w:hAnsi="仿宋" w:eastAsia="仿宋" w:cs="仿宋"/>
          <w:color w:val="000000" w:themeColor="text1"/>
          <w:sz w:val="30"/>
          <w:szCs w:val="30"/>
          <w:lang w:val="en-US" w:eastAsia="en-US" w:bidi="ar-SA"/>
          <w14:textFill>
            <w14:solidFill>
              <w14:schemeClr w14:val="tx1"/>
            </w14:solidFill>
          </w14:textFill>
        </w:rPr>
        <w:t>倡导从事国际交流与合作工作单位开展务实、诚信经营，保障消费者权益。</w:t>
      </w:r>
    </w:p>
    <w:p w14:paraId="57367F12">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color w:val="000000" w:themeColor="text1"/>
          <w:sz w:val="30"/>
          <w:szCs w:val="30"/>
          <w:lang w:val="en-US" w:eastAsia="en-US" w:bidi="ar-SA"/>
          <w14:textFill>
            <w14:solidFill>
              <w14:schemeClr w14:val="tx1"/>
            </w14:solidFill>
          </w14:textFill>
        </w:rPr>
      </w:pPr>
      <w:r>
        <w:rPr>
          <w:rFonts w:hint="eastAsia" w:ascii="仿宋" w:hAnsi="仿宋" w:eastAsia="仿宋" w:cs="仿宋"/>
          <w:color w:val="000000" w:themeColor="text1"/>
          <w:sz w:val="30"/>
          <w:szCs w:val="30"/>
          <w:lang w:val="en-US" w:eastAsia="zh-CN" w:bidi="ar-SA"/>
          <w14:textFill>
            <w14:solidFill>
              <w14:schemeClr w14:val="tx1"/>
            </w14:solidFill>
          </w14:textFill>
        </w:rPr>
        <w:t xml:space="preserve">第十一条 </w:t>
      </w:r>
      <w:r>
        <w:rPr>
          <w:rFonts w:hint="eastAsia" w:ascii="仿宋" w:hAnsi="仿宋" w:eastAsia="仿宋" w:cs="仿宋"/>
          <w:color w:val="000000" w:themeColor="text1"/>
          <w:sz w:val="30"/>
          <w:szCs w:val="30"/>
          <w:lang w:val="en-US" w:eastAsia="en-US" w:bidi="ar-SA"/>
          <w14:textFill>
            <w14:solidFill>
              <w14:schemeClr w14:val="tx1"/>
            </w14:solidFill>
          </w14:textFill>
        </w:rPr>
        <w:t>完成国家有关政府部门和中国茶叶流通协会交办的其</w:t>
      </w:r>
      <w:r>
        <w:rPr>
          <w:rFonts w:hint="eastAsia" w:ascii="仿宋" w:hAnsi="仿宋" w:eastAsia="仿宋" w:cs="仿宋"/>
          <w:color w:val="000000" w:themeColor="text1"/>
          <w:sz w:val="30"/>
          <w:szCs w:val="30"/>
          <w:lang w:val="en-US" w:eastAsia="zh-CN" w:bidi="ar-SA"/>
          <w14:textFill>
            <w14:solidFill>
              <w14:schemeClr w14:val="tx1"/>
            </w14:solidFill>
          </w14:textFill>
        </w:rPr>
        <w:t>他</w:t>
      </w:r>
      <w:r>
        <w:rPr>
          <w:rFonts w:hint="eastAsia" w:ascii="仿宋" w:hAnsi="仿宋" w:eastAsia="仿宋" w:cs="仿宋"/>
          <w:color w:val="000000" w:themeColor="text1"/>
          <w:sz w:val="30"/>
          <w:szCs w:val="30"/>
          <w:lang w:val="en-US" w:eastAsia="en-US" w:bidi="ar-SA"/>
          <w14:textFill>
            <w14:solidFill>
              <w14:schemeClr w14:val="tx1"/>
            </w14:solidFill>
          </w14:textFill>
        </w:rPr>
        <w:t>任务。</w:t>
      </w:r>
    </w:p>
    <w:p w14:paraId="5C5D6B68">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color w:val="000000" w:themeColor="text1"/>
          <w:sz w:val="30"/>
          <w:szCs w:val="30"/>
          <w:lang w:val="en-US" w:eastAsia="en-US" w:bidi="ar-SA"/>
          <w14:textFill>
            <w14:solidFill>
              <w14:schemeClr w14:val="tx1"/>
            </w14:solidFill>
          </w14:textFill>
        </w:rPr>
      </w:pPr>
      <w:r>
        <w:rPr>
          <w:rFonts w:hint="eastAsia" w:ascii="仿宋" w:hAnsi="仿宋" w:eastAsia="仿宋" w:cs="仿宋"/>
          <w:color w:val="000000" w:themeColor="text1"/>
          <w:sz w:val="30"/>
          <w:szCs w:val="30"/>
          <w:lang w:val="en-US" w:eastAsia="zh-CN" w:bidi="ar-SA"/>
          <w14:textFill>
            <w14:solidFill>
              <w14:schemeClr w14:val="tx1"/>
            </w14:solidFill>
          </w14:textFill>
        </w:rPr>
        <w:t xml:space="preserve">第十二条 </w:t>
      </w:r>
      <w:r>
        <w:rPr>
          <w:rFonts w:hint="eastAsia" w:ascii="仿宋" w:hAnsi="仿宋" w:eastAsia="仿宋" w:cs="仿宋"/>
          <w:color w:val="000000" w:themeColor="text1"/>
          <w:sz w:val="30"/>
          <w:szCs w:val="30"/>
          <w:lang w:val="en-US" w:eastAsia="en-US" w:bidi="ar-SA"/>
          <w14:textFill>
            <w14:solidFill>
              <w14:schemeClr w14:val="tx1"/>
            </w14:solidFill>
          </w14:textFill>
        </w:rPr>
        <w:t>为本工委会会员提供服务。</w:t>
      </w:r>
    </w:p>
    <w:bookmarkEnd w:id="1"/>
    <w:p w14:paraId="366C01EB">
      <w:pPr>
        <w:pStyle w:val="3"/>
        <w:keepNext/>
        <w:keepLines/>
        <w:pageBreakBefore w:val="0"/>
        <w:widowControl/>
        <w:kinsoku/>
        <w:wordWrap/>
        <w:overflowPunct/>
        <w:topLinePunct w:val="0"/>
        <w:autoSpaceDE/>
        <w:autoSpaceDN/>
        <w:bidi w:val="0"/>
        <w:adjustRightInd/>
        <w:snapToGrid/>
        <w:spacing w:before="0" w:beforeLines="0" w:after="0" w:line="560" w:lineRule="exact"/>
        <w:textAlignment w:val="auto"/>
        <w:rPr>
          <w:rFonts w:hint="eastAsia" w:ascii="黑体" w:hAnsi="黑体" w:eastAsia="黑体" w:cs="黑体"/>
          <w:b w:val="0"/>
          <w:bCs w:val="0"/>
          <w:color w:val="auto"/>
          <w:sz w:val="30"/>
          <w:szCs w:val="30"/>
        </w:rPr>
      </w:pPr>
      <w:bookmarkStart w:id="2" w:name="c57414b12a86622046e0df03eb84002b"/>
      <w:r>
        <w:rPr>
          <w:rFonts w:hint="eastAsia" w:ascii="黑体" w:hAnsi="黑体" w:eastAsia="黑体" w:cs="黑体"/>
          <w:b w:val="0"/>
          <w:bCs w:val="0"/>
          <w:color w:val="auto"/>
          <w:sz w:val="30"/>
          <w:szCs w:val="30"/>
        </w:rPr>
        <w:t>第三章</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组织制度</w:t>
      </w:r>
    </w:p>
    <w:p w14:paraId="49247613">
      <w:pPr>
        <w:pStyle w:val="14"/>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第十三条 </w:t>
      </w:r>
      <w:r>
        <w:rPr>
          <w:rFonts w:hint="eastAsia" w:ascii="仿宋" w:hAnsi="仿宋" w:eastAsia="仿宋" w:cs="仿宋"/>
          <w:sz w:val="30"/>
          <w:szCs w:val="30"/>
        </w:rPr>
        <w:t>本会最高权力机构是委员工作会议。工作会议闭会期间由</w:t>
      </w:r>
      <w:r>
        <w:rPr>
          <w:rFonts w:hint="eastAsia" w:ascii="仿宋" w:hAnsi="仿宋" w:eastAsia="仿宋" w:cs="仿宋"/>
          <w:sz w:val="30"/>
          <w:szCs w:val="30"/>
          <w:lang w:val="en-US" w:eastAsia="zh-CN"/>
        </w:rPr>
        <w:t>工委会</w:t>
      </w:r>
      <w:r>
        <w:rPr>
          <w:rFonts w:hint="eastAsia" w:ascii="仿宋" w:hAnsi="仿宋" w:eastAsia="仿宋" w:cs="仿宋"/>
          <w:sz w:val="30"/>
          <w:szCs w:val="30"/>
        </w:rPr>
        <w:t>主任委员、副主任委员、秘书长组成的工作班子行使领导职权并开展日常工作，实行主任委员领导下的秘书长负责制。本会工作会议原则上每年召开一次，重大事情由本会工作会议决定，并报中国茶叶流通协会常务理事会批准。</w:t>
      </w:r>
    </w:p>
    <w:p w14:paraId="4AF37232">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第十四条 </w:t>
      </w:r>
      <w:r>
        <w:rPr>
          <w:rFonts w:hint="eastAsia" w:ascii="仿宋" w:hAnsi="仿宋" w:eastAsia="仿宋" w:cs="仿宋"/>
          <w:sz w:val="30"/>
          <w:szCs w:val="30"/>
        </w:rPr>
        <w:t>本会委员工作会议的主要职权是：</w:t>
      </w:r>
    </w:p>
    <w:p w14:paraId="0A7FD68D">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1、讨论决定本会的工作方针、任务和规则。</w:t>
      </w:r>
    </w:p>
    <w:p w14:paraId="0B537D43">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2、听取审议并通过本会工作报告。</w:t>
      </w:r>
    </w:p>
    <w:p w14:paraId="08BF42DE">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3、讨论决定本会重要事项并作出决议。</w:t>
      </w:r>
    </w:p>
    <w:p w14:paraId="7C869E95">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4、制定修改本会条例，并监督条例的实施。</w:t>
      </w:r>
    </w:p>
    <w:p w14:paraId="5554C446">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5、参与中国茶叶流通协会的有关活动。</w:t>
      </w:r>
    </w:p>
    <w:p w14:paraId="12228C45">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第十五条 </w:t>
      </w:r>
      <w:r>
        <w:rPr>
          <w:rFonts w:hint="eastAsia" w:ascii="仿宋" w:hAnsi="仿宋" w:eastAsia="仿宋" w:cs="仿宋"/>
          <w:sz w:val="30"/>
          <w:szCs w:val="30"/>
        </w:rPr>
        <w:t>本会主任委员1人，副主任委员若干人，秘书长1人，副秘书长若</w:t>
      </w:r>
      <w:r>
        <w:rPr>
          <w:rFonts w:hint="eastAsia" w:ascii="仿宋" w:hAnsi="仿宋" w:eastAsia="仿宋" w:cs="仿宋"/>
          <w:sz w:val="30"/>
          <w:szCs w:val="30"/>
          <w:lang w:val="en-US" w:eastAsia="zh-CN"/>
        </w:rPr>
        <w:t>干</w:t>
      </w:r>
      <w:r>
        <w:rPr>
          <w:rFonts w:hint="eastAsia" w:ascii="仿宋" w:hAnsi="仿宋" w:eastAsia="仿宋" w:cs="仿宋"/>
          <w:sz w:val="30"/>
          <w:szCs w:val="30"/>
        </w:rPr>
        <w:t>人；秘书长由中茶协任命，主任委员、副主任委员、副秘书长由委员会议选举产生，并报中国茶叶流通协会批准。原则上每届任期三年，可连选连任。</w:t>
      </w:r>
    </w:p>
    <w:p w14:paraId="0CBE4989">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第十六条 </w:t>
      </w:r>
      <w:r>
        <w:rPr>
          <w:rFonts w:hint="eastAsia" w:ascii="仿宋" w:hAnsi="仿宋" w:eastAsia="仿宋" w:cs="仿宋"/>
          <w:sz w:val="30"/>
          <w:szCs w:val="30"/>
        </w:rPr>
        <w:t>本会可根据需要聘请名誉主任委员、专家和顾问若干人。名誉主任委员、专家和顾问人选，由委员工作会议决定。</w:t>
      </w:r>
    </w:p>
    <w:bookmarkEnd w:id="2"/>
    <w:p w14:paraId="0E8213CA">
      <w:pPr>
        <w:pStyle w:val="3"/>
        <w:keepNext/>
        <w:keepLines/>
        <w:pageBreakBefore w:val="0"/>
        <w:widowControl/>
        <w:kinsoku/>
        <w:wordWrap/>
        <w:overflowPunct/>
        <w:topLinePunct w:val="0"/>
        <w:autoSpaceDE/>
        <w:autoSpaceDN/>
        <w:bidi w:val="0"/>
        <w:adjustRightInd/>
        <w:snapToGrid/>
        <w:spacing w:before="0" w:beforeLines="0" w:after="0" w:line="560" w:lineRule="exact"/>
        <w:textAlignment w:val="auto"/>
        <w:rPr>
          <w:rFonts w:hint="eastAsia" w:ascii="黑体" w:hAnsi="黑体" w:eastAsia="黑体" w:cs="黑体"/>
          <w:b w:val="0"/>
          <w:bCs w:val="0"/>
          <w:color w:val="auto"/>
          <w:sz w:val="30"/>
          <w:szCs w:val="30"/>
        </w:rPr>
      </w:pPr>
      <w:bookmarkStart w:id="3" w:name="c587a7f787d62220fbe64e7d8db9b6d3"/>
      <w:r>
        <w:rPr>
          <w:rFonts w:hint="eastAsia" w:ascii="黑体" w:hAnsi="黑体" w:eastAsia="黑体" w:cs="黑体"/>
          <w:b w:val="0"/>
          <w:bCs w:val="0"/>
          <w:color w:val="auto"/>
          <w:sz w:val="30"/>
          <w:szCs w:val="30"/>
        </w:rPr>
        <w:t>第四章</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常设办事机构</w:t>
      </w:r>
    </w:p>
    <w:p w14:paraId="18B67D1C">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第十七条 </w:t>
      </w:r>
      <w:r>
        <w:rPr>
          <w:rFonts w:hint="eastAsia" w:ascii="仿宋" w:hAnsi="仿宋" w:eastAsia="仿宋" w:cs="仿宋"/>
          <w:sz w:val="30"/>
          <w:szCs w:val="30"/>
        </w:rPr>
        <w:t>本会常设办事机构为秘书处，具体对本会和中国茶叶流通协会常务理事会负责。秘书处在本会和协会秘书处的直接领导下由秘书长主持处理日常工作。</w:t>
      </w:r>
    </w:p>
    <w:p w14:paraId="4C588016">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秘书处可根据工作需要聘请专职工作人员，副秘书长协助秘书长工作。其主要任务是：</w:t>
      </w:r>
    </w:p>
    <w:p w14:paraId="23563123">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1、根据委员的意见和要求提出与修改本会工作规则草案。</w:t>
      </w:r>
    </w:p>
    <w:p w14:paraId="6F5B8126">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2、组织实施本会作出的各种决议和工作任务。</w:t>
      </w:r>
    </w:p>
    <w:p w14:paraId="70D52808">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3、拟定本会工作报告和有关文件草案。</w:t>
      </w:r>
    </w:p>
    <w:p w14:paraId="0EC80754">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4、向工作会议报告本会上年度经费收支情况，提出下年度收支预算草案。</w:t>
      </w:r>
    </w:p>
    <w:p w14:paraId="1102087E">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5、提出需要本会讨论的重大问题的意见草案。</w:t>
      </w:r>
    </w:p>
    <w:p w14:paraId="6E50917F">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6、协调处理委员之间业务往来和发生的业务纠纷，组织法律咨询服务。</w:t>
      </w:r>
    </w:p>
    <w:p w14:paraId="0355A9A6">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7、组织收集与传递各种信息，并组织信息咨询服务。</w:t>
      </w:r>
    </w:p>
    <w:p w14:paraId="4F59D852">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8、组织与指导委员开展各种经营活动。</w:t>
      </w:r>
    </w:p>
    <w:p w14:paraId="3774CC63">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9、完成相关政府部门和中国茶叶流通协会交办的有关工作。</w:t>
      </w:r>
    </w:p>
    <w:bookmarkEnd w:id="3"/>
    <w:p w14:paraId="5A6EE230">
      <w:pPr>
        <w:pStyle w:val="3"/>
        <w:keepNext/>
        <w:keepLines/>
        <w:pageBreakBefore w:val="0"/>
        <w:widowControl/>
        <w:kinsoku/>
        <w:wordWrap/>
        <w:overflowPunct/>
        <w:topLinePunct w:val="0"/>
        <w:autoSpaceDE/>
        <w:autoSpaceDN/>
        <w:bidi w:val="0"/>
        <w:adjustRightInd/>
        <w:snapToGrid/>
        <w:spacing w:before="0" w:beforeLines="0" w:after="0" w:line="560" w:lineRule="exact"/>
        <w:textAlignment w:val="auto"/>
        <w:rPr>
          <w:rFonts w:hint="eastAsia" w:ascii="黑体" w:hAnsi="黑体" w:eastAsia="黑体" w:cs="黑体"/>
          <w:b w:val="0"/>
          <w:bCs w:val="0"/>
          <w:color w:val="auto"/>
          <w:sz w:val="30"/>
          <w:szCs w:val="30"/>
        </w:rPr>
      </w:pPr>
      <w:bookmarkStart w:id="4" w:name="d88904f8baf325a90f8f1b6c871ccd18"/>
      <w:r>
        <w:rPr>
          <w:rFonts w:hint="eastAsia" w:ascii="黑体" w:hAnsi="黑体" w:eastAsia="黑体" w:cs="黑体"/>
          <w:b w:val="0"/>
          <w:bCs w:val="0"/>
          <w:color w:val="auto"/>
          <w:sz w:val="30"/>
          <w:szCs w:val="30"/>
        </w:rPr>
        <w:t>第五章</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委</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员</w:t>
      </w:r>
    </w:p>
    <w:p w14:paraId="28FE7EEB">
      <w:pPr>
        <w:pStyle w:val="14"/>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color w:val="000000" w:themeColor="text1"/>
          <w:sz w:val="30"/>
          <w:szCs w:val="30"/>
          <w:lang w:val="en-US" w:eastAsia="zh-CN" w:bidi="ar-SA"/>
          <w14:textFill>
            <w14:solidFill>
              <w14:schemeClr w14:val="tx1"/>
            </w14:solidFill>
          </w14:textFill>
        </w:rPr>
        <w:t xml:space="preserve">第十八条 </w:t>
      </w:r>
      <w:r>
        <w:rPr>
          <w:rFonts w:hint="eastAsia" w:ascii="仿宋" w:hAnsi="仿宋" w:eastAsia="仿宋" w:cs="仿宋"/>
          <w:color w:val="000000" w:themeColor="text1"/>
          <w:sz w:val="30"/>
          <w:szCs w:val="30"/>
          <w:lang w:val="en-US" w:eastAsia="en-US" w:bidi="ar-SA"/>
          <w14:textFill>
            <w14:solidFill>
              <w14:schemeClr w14:val="tx1"/>
            </w14:solidFill>
          </w14:textFill>
        </w:rPr>
        <w:t>委员的产生：凡承认《中国茶叶流通协会章程》和本会《工作规则》，积极参加本会活动，履行委员义务，缴纳会费，从事国际交流与合作生产经营的单位、及与国际交流与合作有关的科研、教学和文化传媒单位、社会团体均可成为本会委员。本</w:t>
      </w:r>
      <w:r>
        <w:rPr>
          <w:rFonts w:hint="eastAsia" w:ascii="仿宋" w:hAnsi="仿宋" w:eastAsia="仿宋" w:cs="仿宋"/>
          <w:sz w:val="30"/>
          <w:szCs w:val="30"/>
        </w:rPr>
        <w:t>会可根据工作需要，聘请有关知名人士为名誉委员。本会原则上不单独接纳个人单独入会。</w:t>
      </w:r>
    </w:p>
    <w:p w14:paraId="16106513">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第十九条 </w:t>
      </w:r>
      <w:r>
        <w:rPr>
          <w:rFonts w:hint="eastAsia" w:ascii="仿宋" w:hAnsi="仿宋" w:eastAsia="仿宋" w:cs="仿宋"/>
          <w:sz w:val="30"/>
          <w:szCs w:val="30"/>
        </w:rPr>
        <w:t>申请加入本会的程序：凡申请加入本会均要提交入会书面申请，经本会工作会议审查批准，即可成为本会的正式委员，特殊情况可由本会领导直接审批。</w:t>
      </w:r>
    </w:p>
    <w:p w14:paraId="7D2E1F0A">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第二十条 </w:t>
      </w:r>
      <w:r>
        <w:rPr>
          <w:rFonts w:hint="eastAsia" w:ascii="仿宋" w:hAnsi="仿宋" w:eastAsia="仿宋" w:cs="仿宋"/>
          <w:sz w:val="30"/>
          <w:szCs w:val="30"/>
        </w:rPr>
        <w:t>本</w:t>
      </w:r>
      <w:r>
        <w:rPr>
          <w:rFonts w:hint="eastAsia" w:ascii="仿宋" w:hAnsi="仿宋" w:eastAsia="仿宋" w:cs="仿宋"/>
          <w:sz w:val="30"/>
          <w:szCs w:val="30"/>
          <w:lang w:eastAsia="zh-CN"/>
        </w:rPr>
        <w:t>工委会</w:t>
      </w:r>
      <w:r>
        <w:rPr>
          <w:rFonts w:hint="eastAsia" w:ascii="仿宋" w:hAnsi="仿宋" w:eastAsia="仿宋" w:cs="仿宋"/>
          <w:sz w:val="30"/>
          <w:szCs w:val="30"/>
        </w:rPr>
        <w:t>委员单位享有下列权利：</w:t>
      </w:r>
    </w:p>
    <w:p w14:paraId="61CDF8F3">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1、委员一律平等，享有同等的权利和义务。</w:t>
      </w:r>
    </w:p>
    <w:p w14:paraId="6DBB1AE6">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2、听取和审议本会的工作报告。</w:t>
      </w:r>
    </w:p>
    <w:p w14:paraId="7B9CC4BC">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3、行使表决权，有选举权和被选举权。</w:t>
      </w:r>
    </w:p>
    <w:p w14:paraId="76A178DF">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4、参与制订和修改本会条例。</w:t>
      </w:r>
    </w:p>
    <w:p w14:paraId="608007C7">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5、参加本会组织的各种会议和业务活动以及各类人员培训和业务专题讲座等。</w:t>
      </w:r>
    </w:p>
    <w:p w14:paraId="01CBA948">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6、获得本会的各种信息资料，并享受本会的信息、法律咨询服务。</w:t>
      </w:r>
    </w:p>
    <w:p w14:paraId="07F7125C">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7、对本会工作提出质询，并提出有利于本会发展的各项建设性意见。</w:t>
      </w:r>
    </w:p>
    <w:p w14:paraId="69E3334E">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8、对本会各级领导有监督权和批评权。</w:t>
      </w:r>
    </w:p>
    <w:p w14:paraId="140278BA">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9、</w:t>
      </w:r>
      <w:r>
        <w:rPr>
          <w:rFonts w:hint="eastAsia" w:ascii="仿宋" w:hAnsi="仿宋" w:eastAsia="仿宋" w:cs="仿宋"/>
          <w:sz w:val="30"/>
          <w:szCs w:val="30"/>
        </w:rPr>
        <w:t>委员的合法权益受到侵害时，有权得到本会的保护。</w:t>
      </w:r>
    </w:p>
    <w:p w14:paraId="3ED149CD">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第二十一条 </w:t>
      </w:r>
      <w:r>
        <w:rPr>
          <w:rFonts w:hint="eastAsia" w:ascii="仿宋" w:hAnsi="仿宋" w:eastAsia="仿宋" w:cs="仿宋"/>
          <w:sz w:val="30"/>
          <w:szCs w:val="30"/>
        </w:rPr>
        <w:t>本</w:t>
      </w:r>
      <w:r>
        <w:rPr>
          <w:rFonts w:hint="eastAsia" w:ascii="仿宋" w:hAnsi="仿宋" w:eastAsia="仿宋" w:cs="仿宋"/>
          <w:sz w:val="30"/>
          <w:szCs w:val="30"/>
          <w:lang w:eastAsia="zh-CN"/>
        </w:rPr>
        <w:t>工委会</w:t>
      </w:r>
      <w:r>
        <w:rPr>
          <w:rFonts w:hint="eastAsia" w:ascii="仿宋" w:hAnsi="仿宋" w:eastAsia="仿宋" w:cs="仿宋"/>
          <w:sz w:val="30"/>
          <w:szCs w:val="30"/>
        </w:rPr>
        <w:t>委员单位应履行下列义务：</w:t>
      </w:r>
    </w:p>
    <w:p w14:paraId="1292C562">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1、遵守本会条例及本会制订的各项规定和制度。</w:t>
      </w:r>
    </w:p>
    <w:p w14:paraId="4FCFBAE0">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2、按规定报送有关报表和市场信息等资料。</w:t>
      </w:r>
    </w:p>
    <w:p w14:paraId="7EA30F55">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3、积极支持本会工作，认真执行本会决定和完成交办的各项工作任务。</w:t>
      </w:r>
    </w:p>
    <w:p w14:paraId="3D20085B">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4、积极开展各项活动，广泛开展各种形式的联络，严格遵守本会委员之间联合对外签订的协议，努力宣传和扩大本会的影响，不得做损害本会和委员声誉及利益的事。</w:t>
      </w:r>
    </w:p>
    <w:p w14:paraId="38F26440">
      <w:pPr>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0"/>
          <w:szCs w:val="30"/>
        </w:rPr>
      </w:pPr>
      <w:bookmarkStart w:id="5" w:name="Xf45e8539df1ee0cd8cc41c4164da20ffefa69e0"/>
      <w:r>
        <w:rPr>
          <w:rFonts w:hint="eastAsia" w:ascii="仿宋" w:hAnsi="仿宋" w:eastAsia="仿宋" w:cs="仿宋"/>
          <w:sz w:val="30"/>
          <w:szCs w:val="30"/>
        </w:rPr>
        <w:t>5、按期缴纳会费。</w:t>
      </w:r>
    </w:p>
    <w:p w14:paraId="11AD9CFF">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第二十二条 </w:t>
      </w:r>
      <w:r>
        <w:rPr>
          <w:rFonts w:hint="eastAsia" w:ascii="仿宋" w:hAnsi="仿宋" w:eastAsia="仿宋" w:cs="仿宋"/>
          <w:sz w:val="30"/>
          <w:szCs w:val="30"/>
        </w:rPr>
        <w:t>主任委员除应履行委员各项义务外，还应承担下列职责：</w:t>
      </w:r>
    </w:p>
    <w:p w14:paraId="3C0877CE">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1.主持本会全面工作；</w:t>
      </w:r>
    </w:p>
    <w:p w14:paraId="39239DBC">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2.主持制定本会工作计划和实施方案；</w:t>
      </w:r>
    </w:p>
    <w:p w14:paraId="4DFC0054">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3.主持本会规章制度建设和整体工作运行；</w:t>
      </w:r>
    </w:p>
    <w:p w14:paraId="669DCBB6">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4.代表本会向中国茶叶流通协会负责，接受协会监督；</w:t>
      </w:r>
    </w:p>
    <w:p w14:paraId="02FA2504">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5.组织全体委员单位按时召开委员工作会议，代表本会向委员工作会议汇报工作。通常情况下，无特殊原因，不得缺席会议；如确有原因无法参会，应提前向本会说明并委派副主任委员或专人代为执行相关工作。主任委员无故停止组织召开工作会议或连续半年(6个月)以上不主持本会工作，本会有权对其提出职务调整，具体由委员工作会议决定，并报协会常务理事会批准。</w:t>
      </w:r>
    </w:p>
    <w:p w14:paraId="0B3B1AB2">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第二十三条 </w:t>
      </w:r>
      <w:r>
        <w:rPr>
          <w:rFonts w:hint="eastAsia" w:ascii="仿宋" w:hAnsi="仿宋" w:eastAsia="仿宋" w:cs="仿宋"/>
          <w:sz w:val="30"/>
          <w:szCs w:val="30"/>
        </w:rPr>
        <w:t>副主任委员除应履行委员各项义务外，还应承担下列职责：</w:t>
      </w:r>
    </w:p>
    <w:p w14:paraId="3E7434D1">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1.协助主任委员开展工作，积极参与本会各项工作；</w:t>
      </w:r>
    </w:p>
    <w:p w14:paraId="29581A4D">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2.协助制定本会工作计划和实施方案；</w:t>
      </w:r>
    </w:p>
    <w:p w14:paraId="02BE18A6">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3.协助推动本会规章制度建设和整体工作运行；</w:t>
      </w:r>
    </w:p>
    <w:p w14:paraId="0DB03CCA">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4.向中国茶叶流通协会负责，接受协会监督；</w:t>
      </w:r>
    </w:p>
    <w:p w14:paraId="40B3DE93">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5.完成主任委员交办的各项工作；</w:t>
      </w:r>
    </w:p>
    <w:p w14:paraId="764B5FA9">
      <w:pPr>
        <w:pStyle w:val="5"/>
        <w:pageBreakBefore w:val="0"/>
        <w:kinsoku/>
        <w:wordWrap/>
        <w:overflowPunct/>
        <w:topLinePunct w:val="0"/>
        <w:autoSpaceDE/>
        <w:autoSpaceDN/>
        <w:bidi w:val="0"/>
        <w:adjustRightInd/>
        <w:snapToGrid/>
        <w:spacing w:before="0" w:line="560" w:lineRule="exact"/>
        <w:textAlignment w:val="auto"/>
        <w:rPr>
          <w:rFonts w:hint="eastAsia" w:ascii="仿宋" w:hAnsi="仿宋" w:eastAsia="仿宋" w:cs="仿宋"/>
          <w:sz w:val="30"/>
          <w:szCs w:val="30"/>
        </w:rPr>
      </w:pPr>
      <w:r>
        <w:rPr>
          <w:rFonts w:hint="eastAsia" w:ascii="仿宋" w:hAnsi="仿宋" w:eastAsia="仿宋" w:cs="仿宋"/>
          <w:sz w:val="30"/>
          <w:szCs w:val="30"/>
        </w:rPr>
        <w:t>6.协助主任委员组织全体委员单位按时召开委员工作会议。通常情况下，无特殊原因，不得缺席会议；如确有原因无法参会，应提前向本会和主任委员申请批准。副主任委员无故缺席委员工作会议或连续半年(6个月)以上不参加本会工作，本会有权对其提出职务调整，具体由委员工作会议决定，并报协会常务理事会批准。</w:t>
      </w:r>
    </w:p>
    <w:p w14:paraId="29980EC7">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第二十四条 </w:t>
      </w:r>
      <w:r>
        <w:rPr>
          <w:rFonts w:hint="eastAsia" w:ascii="仿宋" w:hAnsi="仿宋" w:eastAsia="仿宋" w:cs="仿宋"/>
          <w:sz w:val="30"/>
          <w:szCs w:val="30"/>
        </w:rPr>
        <w:t>根据参加和退出自愿的原则，要求退出本会的委员，须提前半年(6个月)提出书面申请，经本会工作会议批准后通报各委员。</w:t>
      </w:r>
    </w:p>
    <w:p w14:paraId="03BB1EF2">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第二十五条 </w:t>
      </w:r>
      <w:r>
        <w:rPr>
          <w:rFonts w:hint="eastAsia" w:ascii="仿宋" w:hAnsi="仿宋" w:eastAsia="仿宋" w:cs="仿宋"/>
          <w:sz w:val="30"/>
          <w:szCs w:val="30"/>
        </w:rPr>
        <w:t>凡不遵守本规则，不履行委员义务，不执行本会决议，严重违法乱纪，损害本会委员利益，不接受本会委托工作的委员，经本会批准予以除名，对一年不参加本会活动和一年不缴纳会费者，视为自动退出，并通报各委员。</w:t>
      </w:r>
    </w:p>
    <w:p w14:paraId="2CBC46E2">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第二十六条 </w:t>
      </w:r>
      <w:r>
        <w:rPr>
          <w:rFonts w:hint="eastAsia" w:ascii="仿宋" w:hAnsi="仿宋" w:eastAsia="仿宋" w:cs="仿宋"/>
          <w:sz w:val="30"/>
          <w:szCs w:val="30"/>
        </w:rPr>
        <w:t>委员单位凡连续两次无故不参加委员工作会议，连续壹年(12个月)不参加本会活动，无故拖欠或超过壹年不缴纳协会会费者视为自动退出，相关处理结果经委员工作会议向全体委员进行通报。</w:t>
      </w:r>
      <w:bookmarkEnd w:id="4"/>
      <w:bookmarkEnd w:id="5"/>
      <w:bookmarkStart w:id="6" w:name="Xdb5b48aab457643d3eb5b427d482cacad03edf4"/>
    </w:p>
    <w:p w14:paraId="6ECE3CB2">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jc w:val="center"/>
        <w:textAlignment w:val="auto"/>
        <w:rPr>
          <w:rFonts w:hint="eastAsia" w:ascii="黑体" w:hAnsi="黑体" w:eastAsia="黑体" w:cs="黑体"/>
          <w:b w:val="0"/>
          <w:bCs w:val="0"/>
          <w:color w:val="auto"/>
          <w:sz w:val="30"/>
          <w:szCs w:val="30"/>
        </w:rPr>
      </w:pPr>
      <w:r>
        <w:rPr>
          <w:rFonts w:hint="eastAsia" w:ascii="黑体" w:hAnsi="黑体" w:eastAsia="黑体" w:cs="黑体"/>
          <w:b w:val="0"/>
          <w:bCs w:val="0"/>
          <w:color w:val="auto"/>
          <w:sz w:val="30"/>
          <w:szCs w:val="30"/>
        </w:rPr>
        <w:t>第六章</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财务管理</w:t>
      </w:r>
    </w:p>
    <w:p w14:paraId="0024C194">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第二十七条 </w:t>
      </w:r>
      <w:r>
        <w:rPr>
          <w:rFonts w:hint="eastAsia" w:ascii="仿宋" w:hAnsi="仿宋" w:eastAsia="仿宋" w:cs="仿宋"/>
          <w:sz w:val="30"/>
          <w:szCs w:val="30"/>
        </w:rPr>
        <w:t>按民政部有关规定，本会经费由中国茶叶流通协会管理使用，财务工作由中国茶叶流通协会统一负责。</w:t>
      </w:r>
    </w:p>
    <w:p w14:paraId="66A4AD8B">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第二十八条 </w:t>
      </w:r>
      <w:r>
        <w:rPr>
          <w:rFonts w:hint="eastAsia" w:ascii="仿宋" w:hAnsi="仿宋" w:eastAsia="仿宋" w:cs="仿宋"/>
          <w:sz w:val="30"/>
          <w:szCs w:val="30"/>
        </w:rPr>
        <w:t>本会的经费来源是：委员缴纳的会费、委员单位赞助以及开展活动的收入。本会经费将用于开展活动和日常开支。</w:t>
      </w:r>
    </w:p>
    <w:p w14:paraId="33262435">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第二十九条 </w:t>
      </w:r>
      <w:r>
        <w:rPr>
          <w:rFonts w:hint="eastAsia" w:ascii="仿宋" w:hAnsi="仿宋" w:eastAsia="仿宋" w:cs="仿宋"/>
          <w:sz w:val="30"/>
          <w:szCs w:val="30"/>
        </w:rPr>
        <w:t>对于有意向加入国际交流工作委员会的各单位，一经批准加入，将同时具有中国茶叶流通协会团体会员资格，除需按照《中国茶叶流通协会会员管理办法》定期缴纳协会会费外，不再另行收费。本会会费缴纳标准：主任委员单位参照中国茶叶流通协会常务理事单位会费缴纳标准进行缴纳；副主任委员、副秘书长单位参照中国茶叶流通协会理事单位会费缴纳标准进行缴纳；普通委员参照中国茶叶流通协会普通会员单位会费缴纳标准进行缴纳。对于已在协会具有相应职务的会员单位，参加本专委会后，会费依照”就高不就低”的原则进行缴纳。</w:t>
      </w:r>
    </w:p>
    <w:p w14:paraId="33A1FA3B">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第三十条 </w:t>
      </w:r>
      <w:r>
        <w:rPr>
          <w:rFonts w:hint="eastAsia" w:ascii="仿宋" w:hAnsi="仿宋" w:eastAsia="仿宋" w:cs="仿宋"/>
          <w:sz w:val="30"/>
          <w:szCs w:val="30"/>
        </w:rPr>
        <w:t>本会经费开支预算须经中茶协秘书处报请会长通过方可实施，决算于每年会计年度终结后，经本会审核，向委员报告。</w:t>
      </w:r>
    </w:p>
    <w:bookmarkEnd w:id="6"/>
    <w:p w14:paraId="2C3A9902">
      <w:pPr>
        <w:pStyle w:val="3"/>
        <w:keepNext/>
        <w:keepLines/>
        <w:pageBreakBefore w:val="0"/>
        <w:widowControl/>
        <w:kinsoku/>
        <w:wordWrap/>
        <w:overflowPunct/>
        <w:topLinePunct w:val="0"/>
        <w:autoSpaceDE/>
        <w:autoSpaceDN/>
        <w:bidi w:val="0"/>
        <w:adjustRightInd/>
        <w:snapToGrid/>
        <w:spacing w:before="0" w:beforeLines="0" w:after="0" w:line="560" w:lineRule="exact"/>
        <w:textAlignment w:val="auto"/>
        <w:rPr>
          <w:rFonts w:hint="eastAsia" w:ascii="黑体" w:hAnsi="黑体" w:eastAsia="黑体" w:cs="黑体"/>
          <w:b w:val="0"/>
          <w:bCs w:val="0"/>
          <w:color w:val="auto"/>
          <w:sz w:val="30"/>
          <w:szCs w:val="30"/>
        </w:rPr>
      </w:pPr>
      <w:bookmarkStart w:id="7" w:name="X48d70bc54d80dca68fc62f31256f97b4592598c"/>
      <w:r>
        <w:rPr>
          <w:rFonts w:hint="eastAsia" w:ascii="黑体" w:hAnsi="黑体" w:eastAsia="黑体" w:cs="黑体"/>
          <w:b w:val="0"/>
          <w:bCs w:val="0"/>
          <w:color w:val="auto"/>
          <w:sz w:val="30"/>
          <w:szCs w:val="30"/>
        </w:rPr>
        <w:t>第七章</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附</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rPr>
        <w:t>则</w:t>
      </w:r>
    </w:p>
    <w:p w14:paraId="0650BAD6">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第三十一条 </w:t>
      </w:r>
      <w:r>
        <w:rPr>
          <w:rFonts w:hint="eastAsia" w:ascii="仿宋" w:hAnsi="仿宋" w:eastAsia="仿宋" w:cs="仿宋"/>
          <w:sz w:val="30"/>
          <w:szCs w:val="30"/>
        </w:rPr>
        <w:t>本会条例如与国家法律、法令有抵触时，按国家法律、法令执行。</w:t>
      </w:r>
    </w:p>
    <w:p w14:paraId="373D4D5B">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第三十二条 </w:t>
      </w:r>
      <w:r>
        <w:rPr>
          <w:rFonts w:hint="eastAsia" w:ascii="仿宋" w:hAnsi="仿宋" w:eastAsia="仿宋" w:cs="仿宋"/>
          <w:sz w:val="30"/>
          <w:szCs w:val="30"/>
        </w:rPr>
        <w:t>本条例经委员代表大会讨论通过并报中国茶叶流通协会批准后实施。</w:t>
      </w:r>
    </w:p>
    <w:p w14:paraId="538A44E5">
      <w:pPr>
        <w:pStyle w:val="5"/>
        <w:keepNext w:val="0"/>
        <w:keepLines w:val="0"/>
        <w:pageBreakBefore w:val="0"/>
        <w:widowControl/>
        <w:numPr>
          <w:ilvl w:val="0"/>
          <w:numId w:val="0"/>
        </w:numPr>
        <w:kinsoku/>
        <w:wordWrap/>
        <w:overflowPunct/>
        <w:topLinePunct w:val="0"/>
        <w:autoSpaceDE/>
        <w:autoSpaceDN/>
        <w:bidi w:val="0"/>
        <w:adjustRightInd/>
        <w:snapToGrid/>
        <w:spacing w:before="0" w:line="56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第三十三条 </w:t>
      </w:r>
      <w:r>
        <w:rPr>
          <w:rFonts w:hint="eastAsia" w:ascii="仿宋" w:hAnsi="仿宋" w:eastAsia="仿宋" w:cs="仿宋"/>
          <w:sz w:val="30"/>
          <w:szCs w:val="30"/>
        </w:rPr>
        <w:t>本会条例解释权属国际交流与合作</w:t>
      </w:r>
      <w:r>
        <w:rPr>
          <w:rFonts w:hint="eastAsia" w:ascii="仿宋" w:hAnsi="仿宋" w:eastAsia="仿宋" w:cs="仿宋"/>
          <w:sz w:val="30"/>
          <w:szCs w:val="30"/>
          <w:lang w:val="en-US" w:eastAsia="zh-CN"/>
        </w:rPr>
        <w:t>工作</w:t>
      </w:r>
      <w:r>
        <w:rPr>
          <w:rFonts w:hint="eastAsia" w:ascii="仿宋" w:hAnsi="仿宋" w:eastAsia="仿宋" w:cs="仿宋"/>
          <w:sz w:val="30"/>
          <w:szCs w:val="30"/>
        </w:rPr>
        <w:t>委员会委员工作会议。</w:t>
      </w:r>
    </w:p>
    <w:p w14:paraId="2EF1D4F3">
      <w:pPr>
        <w:pStyle w:val="5"/>
        <w:pageBreakBefore w:val="0"/>
        <w:kinsoku/>
        <w:wordWrap w:val="0"/>
        <w:overflowPunct/>
        <w:topLinePunct w:val="0"/>
        <w:autoSpaceDE/>
        <w:autoSpaceDN/>
        <w:bidi w:val="0"/>
        <w:adjustRightInd/>
        <w:snapToGrid/>
        <w:spacing w:before="0" w:line="560" w:lineRule="exact"/>
        <w:jc w:val="right"/>
        <w:textAlignment w:val="auto"/>
        <w:rPr>
          <w:rFonts w:hint="eastAsia" w:ascii="仿宋" w:hAnsi="仿宋" w:eastAsia="仿宋" w:cs="仿宋"/>
          <w:sz w:val="30"/>
          <w:szCs w:val="30"/>
        </w:rPr>
      </w:pPr>
    </w:p>
    <w:p w14:paraId="3E9D1923">
      <w:pPr>
        <w:pStyle w:val="5"/>
        <w:pageBreakBefore w:val="0"/>
        <w:kinsoku/>
        <w:wordWrap w:val="0"/>
        <w:overflowPunct/>
        <w:topLinePunct w:val="0"/>
        <w:autoSpaceDE/>
        <w:autoSpaceDN/>
        <w:bidi w:val="0"/>
        <w:adjustRightInd/>
        <w:snapToGrid/>
        <w:spacing w:before="0" w:line="560" w:lineRule="exact"/>
        <w:jc w:val="right"/>
        <w:textAlignment w:val="auto"/>
        <w:rPr>
          <w:rFonts w:hint="eastAsia" w:ascii="仿宋" w:hAnsi="仿宋" w:eastAsia="仿宋" w:cs="仿宋"/>
          <w:sz w:val="30"/>
          <w:szCs w:val="30"/>
        </w:rPr>
      </w:pPr>
    </w:p>
    <w:p w14:paraId="2C2906F0">
      <w:pPr>
        <w:pStyle w:val="5"/>
        <w:pageBreakBefore w:val="0"/>
        <w:kinsoku/>
        <w:wordWrap w:val="0"/>
        <w:overflowPunct/>
        <w:topLinePunct w:val="0"/>
        <w:autoSpaceDE/>
        <w:autoSpaceDN/>
        <w:bidi w:val="0"/>
        <w:adjustRightInd/>
        <w:snapToGrid/>
        <w:spacing w:before="0" w:line="560" w:lineRule="exact"/>
        <w:jc w:val="right"/>
        <w:textAlignment w:val="auto"/>
        <w:rPr>
          <w:rFonts w:hint="default" w:ascii="仿宋" w:hAnsi="仿宋" w:eastAsia="仿宋" w:cs="仿宋"/>
          <w:sz w:val="30"/>
          <w:szCs w:val="30"/>
          <w:lang w:val="en-US" w:eastAsia="zh-CN"/>
        </w:rPr>
      </w:pPr>
      <w:r>
        <w:rPr>
          <w:rFonts w:hint="eastAsia" w:ascii="仿宋" w:hAnsi="仿宋" w:eastAsia="仿宋" w:cs="仿宋"/>
          <w:sz w:val="30"/>
          <w:szCs w:val="30"/>
        </w:rPr>
        <w:t>中国茶叶流通协会</w:t>
      </w:r>
      <w:r>
        <w:rPr>
          <w:rFonts w:hint="eastAsia" w:ascii="仿宋" w:hAnsi="仿宋" w:eastAsia="仿宋" w:cs="仿宋"/>
          <w:sz w:val="30"/>
          <w:szCs w:val="30"/>
          <w:lang w:val="en-US" w:eastAsia="zh-CN"/>
        </w:rPr>
        <w:t xml:space="preserve">    </w:t>
      </w:r>
    </w:p>
    <w:p w14:paraId="5E35C1AA">
      <w:pPr>
        <w:pStyle w:val="5"/>
        <w:pageBreakBefore w:val="0"/>
        <w:kinsoku/>
        <w:wordWrap/>
        <w:overflowPunct/>
        <w:topLinePunct w:val="0"/>
        <w:autoSpaceDE/>
        <w:autoSpaceDN/>
        <w:bidi w:val="0"/>
        <w:adjustRightInd/>
        <w:snapToGrid/>
        <w:spacing w:before="0" w:line="560" w:lineRule="exact"/>
        <w:jc w:val="right"/>
        <w:textAlignment w:val="auto"/>
        <w:rPr>
          <w:rFonts w:hint="eastAsia" w:ascii="仿宋" w:hAnsi="仿宋" w:eastAsia="仿宋" w:cs="仿宋"/>
          <w:sz w:val="30"/>
          <w:szCs w:val="30"/>
        </w:rPr>
      </w:pPr>
      <w:r>
        <w:rPr>
          <w:rFonts w:hint="eastAsia" w:ascii="仿宋" w:hAnsi="仿宋" w:eastAsia="仿宋" w:cs="仿宋"/>
          <w:sz w:val="30"/>
          <w:szCs w:val="30"/>
        </w:rPr>
        <w:t>国际交流与合作工作委员会</w:t>
      </w:r>
    </w:p>
    <w:p w14:paraId="026D520A">
      <w:pPr>
        <w:pStyle w:val="5"/>
        <w:pageBreakBefore w:val="0"/>
        <w:kinsoku/>
        <w:wordWrap w:val="0"/>
        <w:overflowPunct/>
        <w:topLinePunct w:val="0"/>
        <w:autoSpaceDE/>
        <w:autoSpaceDN/>
        <w:bidi w:val="0"/>
        <w:adjustRightInd/>
        <w:snapToGrid/>
        <w:spacing w:before="0" w:line="560" w:lineRule="exact"/>
        <w:jc w:val="right"/>
        <w:textAlignment w:val="auto"/>
        <w:rPr>
          <w:rFonts w:hint="eastAsia"/>
          <w:lang w:val="en-US" w:eastAsia="zh-CN"/>
        </w:rPr>
      </w:pPr>
      <w:r>
        <w:rPr>
          <w:rFonts w:hint="eastAsia" w:ascii="仿宋" w:hAnsi="仿宋" w:eastAsia="仿宋" w:cs="仿宋"/>
          <w:sz w:val="30"/>
          <w:szCs w:val="30"/>
        </w:rPr>
        <w:t>二○一九年五月</w:t>
      </w:r>
      <w:r>
        <w:rPr>
          <w:rFonts w:hint="eastAsia" w:ascii="仿宋" w:hAnsi="仿宋" w:eastAsia="仿宋" w:cs="仿宋"/>
          <w:sz w:val="30"/>
          <w:szCs w:val="30"/>
          <w:lang w:val="en-US" w:eastAsia="zh-CN"/>
        </w:rPr>
        <w:t xml:space="preserve">     </w:t>
      </w:r>
      <w:bookmarkEnd w:id="7"/>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A7EAFB"/>
    <w:multiLevelType w:val="singleLevel"/>
    <w:tmpl w:val="F9A7EAFB"/>
    <w:lvl w:ilvl="0" w:tentative="0">
      <w:start w:val="1"/>
      <w:numFmt w:val="chineseCounting"/>
      <w:lvlText w:val="第%1条"/>
      <w:lvlJc w:val="left"/>
      <w:pPr>
        <w:tabs>
          <w:tab w:val="left" w:pos="420"/>
        </w:tabs>
        <w:ind w:left="0" w:leftChars="0" w:firstLine="4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373"/>
    <w:rsid w:val="00024947"/>
    <w:rsid w:val="000777CF"/>
    <w:rsid w:val="0008540D"/>
    <w:rsid w:val="00095D07"/>
    <w:rsid w:val="001409C4"/>
    <w:rsid w:val="00157473"/>
    <w:rsid w:val="00162733"/>
    <w:rsid w:val="00200211"/>
    <w:rsid w:val="00214279"/>
    <w:rsid w:val="00254AF3"/>
    <w:rsid w:val="002E0557"/>
    <w:rsid w:val="002F5D83"/>
    <w:rsid w:val="003C45F8"/>
    <w:rsid w:val="004A09DB"/>
    <w:rsid w:val="004F35B0"/>
    <w:rsid w:val="00590893"/>
    <w:rsid w:val="005A72D4"/>
    <w:rsid w:val="005F591C"/>
    <w:rsid w:val="00624DC5"/>
    <w:rsid w:val="007E4D54"/>
    <w:rsid w:val="00967F76"/>
    <w:rsid w:val="009A349B"/>
    <w:rsid w:val="00A64A9F"/>
    <w:rsid w:val="00A920F3"/>
    <w:rsid w:val="00AE5BA9"/>
    <w:rsid w:val="00AE77D3"/>
    <w:rsid w:val="00B51895"/>
    <w:rsid w:val="00C17D87"/>
    <w:rsid w:val="00CB605F"/>
    <w:rsid w:val="00D55C85"/>
    <w:rsid w:val="00D77373"/>
    <w:rsid w:val="00EC1315"/>
    <w:rsid w:val="00F51801"/>
    <w:rsid w:val="00FE0B79"/>
    <w:rsid w:val="02D108F7"/>
    <w:rsid w:val="070E48A8"/>
    <w:rsid w:val="071F40AF"/>
    <w:rsid w:val="0EC33352"/>
    <w:rsid w:val="18133ACD"/>
    <w:rsid w:val="18ED6A14"/>
    <w:rsid w:val="19E576EB"/>
    <w:rsid w:val="1B3D4508"/>
    <w:rsid w:val="1BE71FEF"/>
    <w:rsid w:val="1D6F3E9B"/>
    <w:rsid w:val="237D2742"/>
    <w:rsid w:val="26E8081A"/>
    <w:rsid w:val="278A746F"/>
    <w:rsid w:val="28043770"/>
    <w:rsid w:val="2C6D34C2"/>
    <w:rsid w:val="2F412D80"/>
    <w:rsid w:val="30AA3416"/>
    <w:rsid w:val="335A484E"/>
    <w:rsid w:val="35D408E8"/>
    <w:rsid w:val="36545584"/>
    <w:rsid w:val="397A17A6"/>
    <w:rsid w:val="3B516536"/>
    <w:rsid w:val="3ED4389F"/>
    <w:rsid w:val="4093139F"/>
    <w:rsid w:val="4383394D"/>
    <w:rsid w:val="4CBD7ED0"/>
    <w:rsid w:val="4F0911AA"/>
    <w:rsid w:val="4FF97471"/>
    <w:rsid w:val="53301898"/>
    <w:rsid w:val="5415239F"/>
    <w:rsid w:val="559C2392"/>
    <w:rsid w:val="55EF619D"/>
    <w:rsid w:val="56755377"/>
    <w:rsid w:val="5B745ED8"/>
    <w:rsid w:val="5FDF52C6"/>
    <w:rsid w:val="5FEFFC07"/>
    <w:rsid w:val="6349369D"/>
    <w:rsid w:val="63803D2C"/>
    <w:rsid w:val="63DF85FA"/>
    <w:rsid w:val="66FB3677"/>
    <w:rsid w:val="69742AA6"/>
    <w:rsid w:val="6DFA6436"/>
    <w:rsid w:val="6E661D1D"/>
    <w:rsid w:val="6ECC5B82"/>
    <w:rsid w:val="74DA5745"/>
    <w:rsid w:val="795E0F58"/>
    <w:rsid w:val="79AE4579"/>
    <w:rsid w:val="7CBE2D25"/>
    <w:rsid w:val="7E5579FE"/>
    <w:rsid w:val="7EDD3A75"/>
    <w:rsid w:val="7F6C55C9"/>
    <w:rsid w:val="7FF76C99"/>
    <w:rsid w:val="87FF9E5C"/>
    <w:rsid w:val="ACFFE3FA"/>
    <w:rsid w:val="CFFB9646"/>
    <w:rsid w:val="F5B6634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60" w:after="0" w:line="240" w:lineRule="auto"/>
      <w:outlineLvl w:val="0"/>
    </w:pPr>
    <w:rPr>
      <w:rFonts w:eastAsia="黑体" w:asciiTheme="majorAscii" w:hAnsiTheme="majorAscii" w:cstheme="majorBidi"/>
      <w:bCs/>
      <w:color w:val="000000" w:themeColor="text1"/>
      <w:sz w:val="44"/>
      <w:szCs w:val="28"/>
      <w14:textFill>
        <w14:solidFill>
          <w14:schemeClr w14:val="tx1"/>
        </w14:solidFill>
      </w14:textFill>
    </w:rPr>
  </w:style>
  <w:style w:type="paragraph" w:styleId="3">
    <w:name w:val="heading 2"/>
    <w:basedOn w:val="1"/>
    <w:next w:val="1"/>
    <w:unhideWhenUsed/>
    <w:qFormat/>
    <w:uiPriority w:val="9"/>
    <w:pPr>
      <w:keepNext/>
      <w:keepLines/>
      <w:spacing w:before="150" w:beforeLines="150" w:after="0" w:line="240" w:lineRule="auto"/>
      <w:ind w:firstLine="0" w:firstLineChars="0"/>
      <w:jc w:val="center"/>
      <w:outlineLvl w:val="1"/>
    </w:pPr>
    <w:rPr>
      <w:rFonts w:eastAsia="微软雅黑" w:asciiTheme="majorAscii" w:hAnsiTheme="majorAscii" w:cstheme="majorBidi"/>
      <w:b/>
      <w:bCs/>
      <w:color w:val="000000" w:themeColor="text1"/>
      <w:sz w:val="30"/>
      <w:szCs w:val="26"/>
      <w14:textFill>
        <w14:solidFill>
          <w14:schemeClr w14:val="tx1"/>
        </w14:solidFill>
      </w14:textFill>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4"/>
    <w:qFormat/>
    <w:uiPriority w:val="0"/>
    <w:pPr>
      <w:spacing w:before="180"/>
      <w:ind w:firstLine="200"/>
    </w:pPr>
  </w:style>
  <w:style w:type="paragraph" w:styleId="6">
    <w:name w:val="footer"/>
    <w:basedOn w:val="1"/>
    <w:semiHidden/>
    <w:unhideWhenUsed/>
    <w:qFormat/>
    <w:uiPriority w:val="99"/>
    <w:pPr>
      <w:tabs>
        <w:tab w:val="center" w:pos="4153"/>
        <w:tab w:val="right" w:pos="8306"/>
      </w:tabs>
      <w:snapToGrid w:val="0"/>
      <w:jc w:val="left"/>
    </w:pPr>
    <w:rPr>
      <w:sz w:val="18"/>
    </w:rPr>
  </w:style>
  <w:style w:type="paragraph" w:styleId="7">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Title"/>
    <w:basedOn w:val="1"/>
    <w:qFormat/>
    <w:uiPriority w:val="99"/>
    <w:pPr>
      <w:spacing w:before="240" w:after="60"/>
      <w:jc w:val="center"/>
      <w:outlineLvl w:val="0"/>
    </w:pPr>
    <w:rPr>
      <w:rFonts w:ascii="Arial" w:hAnsi="Arial" w:cs="Arial"/>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rPr>
  </w:style>
  <w:style w:type="paragraph" w:customStyle="1" w:styleId="14">
    <w:name w:val="First Paragraph"/>
    <w:basedOn w:val="5"/>
    <w:next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Sky123.Org</Company>
  <Pages>7</Pages>
  <Words>4320</Words>
  <Characters>4432</Characters>
  <Lines>5</Lines>
  <Paragraphs>1</Paragraphs>
  <TotalTime>1</TotalTime>
  <ScaleCrop>false</ScaleCrop>
  <LinksUpToDate>false</LinksUpToDate>
  <CharactersWithSpaces>4840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2023-06-16T11:11:00Z</dcterms:created>
  <dc:creator>Windows 用户</dc:creator>
  <cp:lastModifiedBy>王春雷</cp:lastModifiedBy>
  <dcterms:modified xsi:type="dcterms:W3CDTF">2025-08-13T06:48:53Z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eyJoZGlkIjoiZDg4YTg1MTI4NmJmYjcyNzgzMDg5NzAwNTdiNDRiODEiLCJ1c2VySWQiOiIzNTU2Mjk4NDcifQ==</vt:lpwstr>
  </property>
  <property fmtid="{D5CDD505-2E9C-101B-9397-08002B2CF9AE}" pid="4" name="ICV">
    <vt:lpwstr>F30C9933C24E4ECFBA4FD57C2CF47538_12</vt:lpwstr>
  </property>
</Properties>
</file>